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1.2</w:t>
      </w:r>
      <w:r>
        <w:rPr>
          <w:rFonts w:ascii="Segoe UI" w:hAnsi="Segoe UI"/>
          <w:color w:val="D99B42"/>
          <w:sz w:val="20"/>
        </w:rPr>
        <w:t xml:space="preserve">  •  </w:t>
      </w:r>
      <w:r>
        <w:rPr>
          <w:rFonts w:ascii="Segoe UI" w:hAnsi="Segoe UI"/>
          <w:color w:val="60726B"/>
          <w:sz w:val="20"/>
        </w:rPr>
        <w:t>Last reviewed August 23,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two API-backed workflows.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Homepage and current journeys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bl>
    <w:p>
      <w:pPr>
        <w:spacing w:after="0"/>
      </w:pPr>
    </w:p>
    <w:p>
      <w:pPr>
        <w:pStyle w:val="Heading2"/>
      </w:pPr>
      <w:r>
        <w:rPr>
          <w:rFonts w:ascii="Georgia" w:hAnsi="Georgia"/>
          <w:b/>
          <w:color w:val="275D4D"/>
          <w:sz w:val="26"/>
        </w:rPr>
        <w:t>Developing trip pages</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numPr>
          <w:ilvl w:val="0"/>
          <w:numId w:val="10"/>
        </w:numPr>
        <w:spacing w:before="0" w:after="80" w:line="300" w:lineRule="auto"/>
        <w:ind w:left="540" w:hanging="271"/>
      </w:pPr>
      <w:r>
        <w:rPr>
          <w:rFonts w:ascii="Segoe UI" w:hAnsi="Segoe UI"/>
          <w:color w:val="19322B"/>
          <w:sz w:val="22"/>
        </w:rPr>
        <w:t>core neutrals;</w:t>
      </w:r>
    </w:p>
    <w:p>
      <w:pPr>
        <w:numPr>
          <w:ilvl w:val="0"/>
          <w:numId w:val="10"/>
        </w:numPr>
        <w:spacing w:before="0" w:after="80" w:line="300" w:lineRule="auto"/>
        <w:ind w:left="540" w:hanging="271"/>
      </w:pPr>
      <w:r>
        <w:rPr>
          <w:rFonts w:ascii="Segoe UI" w:hAnsi="Segoe UI"/>
          <w:color w:val="19322B"/>
          <w:sz w:val="22"/>
        </w:rPr>
        <w:t>forest, gold, and coral brand colors;</w:t>
      </w:r>
    </w:p>
    <w:p>
      <w:pPr>
        <w:numPr>
          <w:ilvl w:val="0"/>
          <w:numId w:val="10"/>
        </w:numPr>
        <w:spacing w:before="0" w:after="80" w:line="300" w:lineRule="auto"/>
        <w:ind w:left="540" w:hanging="271"/>
      </w:pPr>
      <w:r>
        <w:rPr>
          <w:rFonts w:ascii="Segoe UI" w:hAnsi="Segoe UI"/>
          <w:color w:val="19322B"/>
          <w:sz w:val="22"/>
        </w:rPr>
        <w:t>reusable washes and illustrated accents;</w:t>
      </w:r>
    </w:p>
    <w:p>
      <w:pPr>
        <w:numPr>
          <w:ilvl w:val="0"/>
          <w:numId w:val="10"/>
        </w:numPr>
        <w:spacing w:before="0" w:after="80" w:line="300" w:lineRule="auto"/>
        <w:ind w:left="540" w:hanging="271"/>
      </w:pPr>
      <w:r>
        <w:rPr>
          <w:rFonts w:ascii="Segoe UI" w:hAnsi="Segoe UI"/>
          <w:color w:val="19322B"/>
          <w:sz w:val="22"/>
        </w:rPr>
        <w:t>functional success, information, warning, and error colors;</w:t>
      </w:r>
    </w:p>
    <w:p>
      <w:pPr>
        <w:numPr>
          <w:ilvl w:val="0"/>
          <w:numId w:val="10"/>
        </w:numPr>
        <w:spacing w:before="0" w:after="80" w:line="300" w:lineRule="auto"/>
        <w:ind w:left="540" w:hanging="271"/>
      </w:pPr>
      <w:r>
        <w:rPr>
          <w:rFonts w:ascii="Segoe UI" w:hAnsi="Segoe UI"/>
          <w:color w:val="19322B"/>
          <w:sz w:val="22"/>
        </w:rPr>
        <w:t>RGB channels for alpha treatments; and</w:t>
      </w:r>
    </w:p>
    <w:p>
      <w:pPr>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numPr>
          <w:ilvl w:val="0"/>
          <w:numId w:val="10"/>
        </w:numPr>
        <w:spacing w:before="0" w:after="80" w:line="300" w:lineRule="auto"/>
        <w:ind w:left="540" w:hanging="271"/>
      </w:pPr>
      <w:r>
        <w:rPr>
          <w:rFonts w:ascii="Segoe UI" w:hAnsi="Segoe UI"/>
          <w:color w:val="19322B"/>
          <w:sz w:val="22"/>
        </w:rPr>
        <w:t>injects the shared header and footer;</w:t>
      </w:r>
    </w:p>
    <w:p>
      <w:pPr>
        <w:numPr>
          <w:ilvl w:val="0"/>
          <w:numId w:val="10"/>
        </w:numPr>
        <w:spacing w:before="0" w:after="80" w:line="300" w:lineRule="auto"/>
        <w:ind w:left="540" w:hanging="271"/>
      </w:pPr>
      <w:r>
        <w:rPr>
          <w:rFonts w:ascii="Segoe UI" w:hAnsi="Segoe UI"/>
          <w:color w:val="19322B"/>
          <w:sz w:val="22"/>
        </w:rPr>
        <w:t>injects the floating giving action;</w:t>
      </w:r>
    </w:p>
    <w:p>
      <w:pPr>
        <w:numPr>
          <w:ilvl w:val="0"/>
          <w:numId w:val="10"/>
        </w:numPr>
        <w:spacing w:before="0" w:after="80" w:line="300" w:lineRule="auto"/>
        <w:ind w:left="540" w:hanging="271"/>
      </w:pPr>
      <w:r>
        <w:rPr>
          <w:rFonts w:ascii="Segoe UI" w:hAnsi="Segoe UI"/>
          <w:color w:val="19322B"/>
          <w:sz w:val="22"/>
        </w:rPr>
        <w:t>manages mobile navigation state;</w:t>
      </w:r>
    </w:p>
    <w:p>
      <w:pPr>
        <w:numPr>
          <w:ilvl w:val="0"/>
          <w:numId w:val="10"/>
        </w:numPr>
        <w:spacing w:before="0" w:after="80" w:line="300" w:lineRule="auto"/>
        <w:ind w:left="540" w:hanging="271"/>
      </w:pPr>
      <w:r>
        <w:rPr>
          <w:rFonts w:ascii="Segoe UI" w:hAnsi="Segoe UI"/>
          <w:color w:val="19322B"/>
          <w:sz w:val="22"/>
        </w:rPr>
        <w:t>manages the “Our Approach” disclosure pattern;</w:t>
      </w:r>
    </w:p>
    <w:p>
      <w:pPr>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numPr>
          <w:ilvl w:val="0"/>
          <w:numId w:val="10"/>
        </w:numPr>
        <w:spacing w:before="0" w:after="80" w:line="300" w:lineRule="auto"/>
        <w:ind w:left="540" w:hanging="271"/>
      </w:pPr>
      <w:r>
        <w:rPr>
          <w:rFonts w:ascii="Segoe UI" w:hAnsi="Segoe UI"/>
          <w:color w:val="19322B"/>
          <w:sz w:val="22"/>
        </w:rPr>
        <w:t>initializes the photo viewer/lightbox; and</w:t>
      </w:r>
    </w:p>
    <w:p>
      <w:pPr>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/styles.css?v=25</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Consolas" w:hAnsi="Consolas"/>
          <w:color w:val="173F35"/>
          <w:sz w:val="20"/>
          <w:shd w:fill="EDF5F1"/>
        </w:rPr>
        <w:t>/trip.js</w:t>
      </w:r>
      <w:r>
        <w:rPr>
          <w:rFonts w:ascii="Segoe UI" w:hAnsi="Segoe UI"/>
          <w:color w:val="19322B"/>
          <w:sz w:val="22"/>
        </w:rPr>
        <w:t xml:space="preserve"> contains the developing-trip data objects and renders route stubs. When adding a trip:</w:t>
      </w:r>
    </w:p>
    <w:p>
      <w:pPr>
        <w:numPr>
          <w:ilvl w:val="0"/>
          <w:numId w:val="14"/>
        </w:numPr>
        <w:spacing w:before="0" w:after="80" w:line="300" w:lineRule="auto"/>
        <w:ind w:left="540" w:hanging="271"/>
      </w:pPr>
      <w:r>
        <w:rPr>
          <w:rFonts w:ascii="Segoe UI" w:hAnsi="Segoe UI"/>
          <w:color w:val="19322B"/>
          <w:sz w:val="22"/>
        </w:rPr>
        <w:t xml:space="preserve">Add a unique, lowercase, hyphenated slug to </w:t>
      </w:r>
      <w:r>
        <w:rPr>
          <w:rFonts w:ascii="Consolas" w:hAnsi="Consolas"/>
          <w:color w:val="173F35"/>
          <w:sz w:val="20"/>
          <w:shd w:fill="EDF5F1"/>
        </w:rPr>
        <w:t>tripData</w:t>
      </w:r>
      <w:r>
        <w:rPr>
          <w:rFonts w:ascii="Segoe UI" w:hAnsi="Segoe UI"/>
          <w:color w:val="19322B"/>
          <w:sz w:val="22"/>
        </w:rPr>
        <w:t>.</w:t>
      </w:r>
    </w:p>
    <w:p>
      <w:pPr>
        <w:numPr>
          <w:ilvl w:val="0"/>
          <w:numId w:val="14"/>
        </w:numPr>
        <w:spacing w:before="0" w:after="80" w:line="300" w:lineRule="auto"/>
        <w:ind w:left="540" w:hanging="271"/>
      </w:pPr>
      <w:r>
        <w:rPr>
          <w:rFonts w:ascii="Segoe UI" w:hAnsi="Segoe UI"/>
          <w:color w:val="19322B"/>
          <w:sz w:val="22"/>
        </w:rPr>
        <w:t>Add the destination, status, image, summary, facts, description, and appropriate actions.</w:t>
      </w:r>
    </w:p>
    <w:p>
      <w:pPr>
        <w:numPr>
          <w:ilvl w:val="0"/>
          <w:numId w:val="14"/>
        </w:numPr>
        <w:spacing w:before="0" w:after="80" w:line="300" w:lineRule="auto"/>
        <w:ind w:left="540" w:hanging="271"/>
      </w:pPr>
      <w:r>
        <w:rPr>
          <w:rFonts w:ascii="Segoe UI" w:hAnsi="Segoe UI"/>
          <w:color w:val="19322B"/>
          <w:sz w:val="22"/>
        </w:rPr>
        <w:t xml:space="preserve">Create </w:t>
      </w:r>
      <w:r>
        <w:rPr>
          <w:rFonts w:ascii="Consolas" w:hAnsi="Consolas"/>
          <w:color w:val="173F35"/>
          <w:sz w:val="20"/>
          <w:shd w:fill="EDF5F1"/>
        </w:rPr>
        <w:t>/trips/&lt;slug&gt;/index.html</w:t>
      </w:r>
      <w:r>
        <w:rPr>
          <w:rFonts w:ascii="Segoe UI" w:hAnsi="Segoe UI"/>
          <w:color w:val="19322B"/>
          <w:sz w:val="22"/>
        </w:rPr>
        <w:t xml:space="preserve"> using an existing trip stub.</w:t>
      </w:r>
    </w:p>
    <w:p>
      <w:pPr>
        <w:numPr>
          <w:ilvl w:val="0"/>
          <w:numId w:val="14"/>
        </w:numPr>
        <w:spacing w:before="0" w:after="80" w:line="300" w:lineRule="auto"/>
        <w:ind w:left="540" w:hanging="271"/>
      </w:pPr>
      <w:r>
        <w:rPr>
          <w:rFonts w:ascii="Segoe UI" w:hAnsi="Segoe UI"/>
          <w:color w:val="19322B"/>
          <w:sz w:val="22"/>
        </w:rPr>
        <w:t>Update any homepage, interest-form, or navigation content that should expose the new trip.</w:t>
      </w:r>
    </w:p>
    <w:p>
      <w:pPr>
        <w:numPr>
          <w:ilvl w:val="0"/>
          <w:numId w:val="14"/>
        </w:numPr>
        <w:spacing w:before="0" w:after="80" w:line="300" w:lineRule="auto"/>
        <w:ind w:left="540" w:hanging="271"/>
      </w:pPr>
      <w:r>
        <w:rPr>
          <w:rFonts w:ascii="Segoe UI" w:hAnsi="Segoe UI"/>
          <w:color w:val="19322B"/>
          <w:sz w:val="22"/>
        </w:rPr>
        <w:t>Verify missing data does not create blank labels or broken links.</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Treat the script as the maintainable source for bulk document formatting and repeated text. After changing its design constants or templates, regenerate and visually inspect the affected documents before replacing approved copies.</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The browser validates and submits interest selections, name, email, cell phone, contact preference, optional notes, and consent. The static site must never store submitted personal information.</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Worker uses the D1 binding </w:t>
      </w:r>
      <w:r>
        <w:rPr>
          <w:rFonts w:ascii="Consolas" w:hAnsi="Consolas"/>
          <w:color w:val="173F35"/>
          <w:sz w:val="20"/>
          <w:shd w:fill="EDF5F1"/>
        </w:rPr>
        <w:t>DB</w:t>
      </w:r>
      <w:r>
        <w:rPr>
          <w:rFonts w:ascii="Segoe UI" w:hAnsi="Segoe UI"/>
          <w:color w:val="19322B"/>
          <w:sz w:val="22"/>
        </w:rPr>
        <w:t xml:space="preserve"> and the test database </w:t>
      </w:r>
      <w:r>
        <w:rPr>
          <w:rFonts w:ascii="Consolas" w:hAnsi="Consolas"/>
          <w:color w:val="173F35"/>
          <w:sz w:val="20"/>
          <w:shd w:fill="EDF5F1"/>
        </w:rPr>
        <w:t>hope-sojourns-forms-test</w:t>
      </w:r>
      <w:r>
        <w:rPr>
          <w:rFonts w:ascii="Segoe UI" w:hAnsi="Segoe UI"/>
          <w:color w:val="19322B"/>
          <w:sz w:val="22"/>
        </w:rPr>
        <w:t>.</w:t>
      </w:r>
    </w:p>
    <w:p>
      <w:r>
        <w:rPr>
          <w:rFonts w:ascii="Segoe UI" w:hAnsi="Segoe UI"/>
          <w:color w:val="19322B"/>
          <w:sz w:val="22"/>
        </w:rPr>
        <w:t>Current migrations:</w:t>
      </w:r>
    </w:p>
    <w:p>
      <w:pPr>
        <w:numPr>
          <w:ilvl w:val="0"/>
          <w:numId w:val="15"/>
        </w:numPr>
        <w:spacing w:before="0" w:after="80" w:line="300" w:lineRule="auto"/>
        <w:ind w:left="540" w:hanging="271"/>
      </w:pPr>
      <w:r>
        <w:rPr>
          <w:rFonts w:ascii="Consolas" w:hAnsi="Consolas"/>
          <w:color w:val="173F35"/>
          <w:sz w:val="20"/>
          <w:shd w:fill="EDF5F1"/>
        </w:rPr>
        <w:t>0001_initial_forms.sql</w:t>
      </w:r>
    </w:p>
    <w:p>
      <w:pPr>
        <w:numPr>
          <w:ilvl w:val="0"/>
          <w:numId w:val="15"/>
        </w:numPr>
        <w:spacing w:before="0" w:after="80" w:line="300" w:lineRule="auto"/>
        <w:ind w:left="540" w:hanging="271"/>
      </w:pPr>
      <w:r>
        <w:rPr>
          <w:rFonts w:ascii="Consolas" w:hAnsi="Consolas"/>
          <w:color w:val="173F35"/>
          <w:sz w:val="20"/>
          <w:shd w:fill="EDF5F1"/>
        </w:rPr>
        <w:t>0002_enforce_trip_registration_kind.sql</w:t>
      </w:r>
    </w:p>
    <w:p>
      <w:pPr>
        <w:numPr>
          <w:ilvl w:val="0"/>
          <w:numId w:val="15"/>
        </w:numPr>
        <w:spacing w:before="0" w:after="80" w:line="300" w:lineRule="auto"/>
        <w:ind w:left="540" w:hanging="271"/>
      </w:pPr>
      <w:r>
        <w:rPr>
          <w:rFonts w:ascii="Consolas" w:hAnsi="Consolas"/>
          <w:color w:val="173F35"/>
          <w:sz w:val="20"/>
          <w:shd w:fill="EDF5F1"/>
        </w:rPr>
        <w:t>0003_admin_portal.sql</w:t>
      </w:r>
    </w:p>
    <w:p>
      <w:pPr>
        <w:numPr>
          <w:ilvl w:val="0"/>
          <w:numId w:val="15"/>
        </w:numPr>
        <w:spacing w:before="0" w:after="80" w:line="300" w:lineRule="auto"/>
        <w:ind w:left="540" w:hanging="271"/>
      </w:pPr>
      <w:r>
        <w:rPr>
          <w:rFonts w:ascii="Consolas" w:hAnsi="Consolas"/>
          <w:color w:val="173F35"/>
          <w:sz w:val="20"/>
          <w:shd w:fill="EDF5F1"/>
        </w:rPr>
        <w:t>0004_admin_filter_indexes.sql</w:t>
      </w:r>
    </w:p>
    <w:p>
      <w:pPr>
        <w:numPr>
          <w:ilvl w:val="0"/>
          <w:numId w:val="15"/>
        </w:numPr>
        <w:spacing w:before="0" w:after="80" w:line="300" w:lineRule="auto"/>
        <w:ind w:left="540" w:hanging="271"/>
      </w:pPr>
      <w:r>
        <w:rPr>
          <w:rFonts w:ascii="Consolas" w:hAnsi="Consolas"/>
          <w:color w:val="173F35"/>
          <w:sz w:val="20"/>
          <w:shd w:fill="EDF5F1"/>
        </w:rPr>
        <w:t>0005_admin_teams.sql</w:t>
      </w:r>
    </w:p>
    <w:p>
      <w:pPr>
        <w:numPr>
          <w:ilvl w:val="0"/>
          <w:numId w:val="15"/>
        </w:numPr>
        <w:spacing w:before="0" w:after="80" w:line="300" w:lineRule="auto"/>
        <w:ind w:left="540" w:hanging="271"/>
      </w:pPr>
      <w:r>
        <w:rPr>
          <w:rFonts w:ascii="Consolas" w:hAnsi="Consolas"/>
          <w:color w:val="173F35"/>
          <w:sz w:val="20"/>
          <w:shd w:fill="EDF5F1"/>
        </w:rPr>
        <w:t>0006_master_contacts_ministries.sql</w:t>
      </w:r>
    </w:p>
    <w:p>
      <w:pPr>
        <w:numPr>
          <w:ilvl w:val="0"/>
          <w:numId w:val="15"/>
        </w:numPr>
        <w:spacing w:before="0" w:after="80" w:line="300" w:lineRule="auto"/>
        <w:ind w:left="540" w:hanging="271"/>
      </w:pPr>
      <w:r>
        <w:rPr>
          <w:rFonts w:ascii="Consolas" w:hAnsi="Consolas"/>
          <w:color w:val="173F35"/>
          <w:sz w:val="20"/>
          <w:shd w:fill="EDF5F1"/>
        </w:rPr>
        <w:t>0007_contact_imports.sql</w:t>
      </w:r>
    </w:p>
    <w:p>
      <w:pPr>
        <w:numPr>
          <w:ilvl w:val="0"/>
          <w:numId w:val="15"/>
        </w:numPr>
        <w:spacing w:before="0" w:after="80" w:line="300" w:lineRule="auto"/>
        <w:ind w:left="540" w:hanging="271"/>
      </w:pPr>
      <w:r>
        <w:rPr>
          <w:rFonts w:ascii="Consolas" w:hAnsi="Consolas"/>
          <w:color w:val="173F35"/>
          <w:sz w:val="20"/>
          <w:shd w:fill="EDF5F1"/>
        </w:rPr>
        <w:t>0008_admin_credentials.sql</w:t>
      </w:r>
    </w:p>
    <w:p>
      <w:r>
        <w:rPr>
          <w:rFonts w:ascii="Segoe UI" w:hAnsi="Segoe UI"/>
          <w:color w:val="19322B"/>
          <w:sz w:val="22"/>
        </w:rPr>
        <w:t>Do not edit a migration that has already been applied to a shared environment. Add a new numbered migration.</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numPr>
          <w:ilvl w:val="0"/>
          <w:numId w:val="10"/>
        </w:numPr>
        <w:spacing w:before="0" w:after="80" w:line="300" w:lineRule="auto"/>
        <w:ind w:left="540" w:hanging="271"/>
      </w:pPr>
      <w:r>
        <w:rPr>
          <w:rFonts w:ascii="Consolas" w:hAnsi="Consolas"/>
          <w:color w:val="173F35"/>
          <w:sz w:val="20"/>
          <w:shd w:fill="EDF5F1"/>
        </w:rPr>
        <w:t>ADMIN_PASSWORD</w:t>
      </w:r>
    </w:p>
    <w:p>
      <w:pPr>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The portal supports people, submissions, contact editing/import, teams, ministries, internship-toolkit access, replies, status changes, CSV export, and confirmed deletion flows. CSV output must continue to neutralize spreadsheet formulas.</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numPr>
          <w:ilvl w:val="0"/>
          <w:numId w:val="10"/>
        </w:numPr>
        <w:spacing w:before="0" w:after="80" w:line="300" w:lineRule="auto"/>
        <w:ind w:left="540" w:hanging="271"/>
      </w:pPr>
      <w:r>
        <w:rPr>
          <w:rFonts w:ascii="Consolas" w:hAnsi="Consolas"/>
          <w:color w:val="173F35"/>
          <w:sz w:val="20"/>
          <w:shd w:fill="EDF5F1"/>
        </w:rPr>
        <w:t>PAYPAL_CLIENT_ID</w:t>
      </w:r>
    </w:p>
    <w:p>
      <w:pPr>
        <w:numPr>
          <w:ilvl w:val="0"/>
          <w:numId w:val="10"/>
        </w:numPr>
        <w:spacing w:before="0" w:after="80" w:line="300" w:lineRule="auto"/>
        <w:ind w:left="540" w:hanging="271"/>
      </w:pPr>
      <w:r>
        <w:rPr>
          <w:rFonts w:ascii="Consolas" w:hAnsi="Consolas"/>
          <w:color w:val="173F35"/>
          <w:sz w:val="20"/>
          <w:shd w:fill="EDF5F1"/>
        </w:rPr>
        <w:t>PAYPAL_CLIENT_SECRET</w:t>
      </w:r>
    </w:p>
    <w:p>
      <w:pPr>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numPr>
          <w:ilvl w:val="0"/>
          <w:numId w:val="10"/>
        </w:numPr>
        <w:spacing w:before="0" w:after="80" w:line="300" w:lineRule="auto"/>
        <w:ind w:left="540" w:hanging="271"/>
      </w:pPr>
      <w:r>
        <w:rPr>
          <w:rFonts w:ascii="Segoe UI" w:hAnsi="Segoe UI"/>
          <w:color w:val="19322B"/>
          <w:sz w:val="22"/>
        </w:rPr>
        <w:t>the changed page loads without browser console errors;</w:t>
      </w:r>
    </w:p>
    <w:p>
      <w:pPr>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numPr>
          <w:ilvl w:val="0"/>
          <w:numId w:val="10"/>
        </w:numPr>
        <w:spacing w:before="0" w:after="80" w:line="300" w:lineRule="auto"/>
        <w:ind w:left="540" w:hanging="271"/>
      </w:pPr>
      <w:r>
        <w:rPr>
          <w:rFonts w:ascii="Segoe UI" w:hAnsi="Segoe UI"/>
          <w:color w:val="19322B"/>
          <w:sz w:val="22"/>
        </w:rPr>
        <w:t>navigation and the shared footer appear where expected;</w:t>
      </w:r>
    </w:p>
    <w:p>
      <w:pPr>
        <w:numPr>
          <w:ilvl w:val="0"/>
          <w:numId w:val="10"/>
        </w:numPr>
        <w:spacing w:before="0" w:after="80" w:line="300" w:lineRule="auto"/>
        <w:ind w:left="540" w:hanging="271"/>
      </w:pPr>
      <w:r>
        <w:rPr>
          <w:rFonts w:ascii="Segoe UI" w:hAnsi="Segoe UI"/>
          <w:color w:val="19322B"/>
          <w:sz w:val="22"/>
        </w:rPr>
        <w:t>keyboard navigation and visible focus still work;</w:t>
      </w:r>
    </w:p>
    <w:p>
      <w:pPr>
        <w:numPr>
          <w:ilvl w:val="0"/>
          <w:numId w:val="10"/>
        </w:numPr>
        <w:spacing w:before="0" w:after="80" w:line="300" w:lineRule="auto"/>
        <w:ind w:left="540" w:hanging="271"/>
      </w:pPr>
      <w:r>
        <w:rPr>
          <w:rFonts w:ascii="Segoe UI" w:hAnsi="Segoe UI"/>
          <w:color w:val="19322B"/>
          <w:sz w:val="22"/>
        </w:rPr>
        <w:t>images load and crop correctly;</w:t>
      </w:r>
    </w:p>
    <w:p>
      <w:pPr>
        <w:numPr>
          <w:ilvl w:val="0"/>
          <w:numId w:val="10"/>
        </w:numPr>
        <w:spacing w:before="0" w:after="80" w:line="300" w:lineRule="auto"/>
        <w:ind w:left="540" w:hanging="271"/>
      </w:pPr>
      <w:r>
        <w:rPr>
          <w:rFonts w:ascii="Segoe UI" w:hAnsi="Segoe UI"/>
          <w:color w:val="19322B"/>
          <w:sz w:val="22"/>
        </w:rPr>
        <w:t>motion-disabled behavior remains usable; and</w:t>
      </w:r>
    </w:p>
    <w:p>
      <w:pPr>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numPr>
          <w:ilvl w:val="0"/>
          <w:numId w:val="16"/>
        </w:numPr>
        <w:spacing w:before="0" w:after="80" w:line="300" w:lineRule="auto"/>
        <w:ind w:left="540" w:hanging="271"/>
      </w:pPr>
      <w:r>
        <w:rPr>
          <w:rFonts w:ascii="Segoe UI" w:hAnsi="Segoe UI"/>
          <w:color w:val="19322B"/>
          <w:sz w:val="22"/>
        </w:rPr>
        <w:t>Copy the nearest existing page structure.</w:t>
      </w:r>
    </w:p>
    <w:p>
      <w:pPr>
        <w:numPr>
          <w:ilvl w:val="0"/>
          <w:numId w:val="16"/>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numPr>
          <w:ilvl w:val="0"/>
          <w:numId w:val="16"/>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numPr>
          <w:ilvl w:val="0"/>
          <w:numId w:val="16"/>
        </w:numPr>
        <w:spacing w:before="0" w:after="80" w:line="300" w:lineRule="auto"/>
        <w:ind w:left="540" w:hanging="271"/>
      </w:pPr>
      <w:r>
        <w:rPr>
          <w:rFonts w:ascii="Segoe UI" w:hAnsi="Segoe UI"/>
          <w:color w:val="19322B"/>
          <w:sz w:val="22"/>
        </w:rPr>
        <w:t>Reuse existing component classes and design tokens.</w:t>
      </w:r>
    </w:p>
    <w:p>
      <w:pPr>
        <w:numPr>
          <w:ilvl w:val="0"/>
          <w:numId w:val="16"/>
        </w:numPr>
        <w:spacing w:before="0" w:after="80" w:line="300" w:lineRule="auto"/>
        <w:ind w:left="540" w:hanging="271"/>
      </w:pPr>
      <w:r>
        <w:rPr>
          <w:rFonts w:ascii="Segoe UI" w:hAnsi="Segoe UI"/>
          <w:color w:val="19322B"/>
          <w:sz w:val="22"/>
        </w:rPr>
        <w:t>Add navigation links only when the page belongs in global navigation.</w:t>
      </w:r>
    </w:p>
    <w:p>
      <w:pPr>
        <w:numPr>
          <w:ilvl w:val="0"/>
          <w:numId w:val="16"/>
        </w:numPr>
        <w:spacing w:before="0" w:after="80" w:line="300" w:lineRule="auto"/>
        <w:ind w:left="540" w:hanging="271"/>
      </w:pPr>
      <w:r>
        <w:rPr>
          <w:rFonts w:ascii="Segoe UI" w:hAnsi="Segoe UI"/>
          <w:color w:val="19322B"/>
          <w:sz w:val="22"/>
        </w:rPr>
        <w:t>Test desktop, mobile, keyboard, images, metadata, and console output.</w:t>
      </w:r>
    </w:p>
    <w:p>
      <w:pPr>
        <w:numPr>
          <w:ilvl w:val="0"/>
          <w:numId w:val="16"/>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numPr>
          <w:ilvl w:val="0"/>
          <w:numId w:val="17"/>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numPr>
          <w:ilvl w:val="0"/>
          <w:numId w:val="17"/>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numPr>
          <w:ilvl w:val="0"/>
          <w:numId w:val="17"/>
        </w:numPr>
        <w:spacing w:before="0" w:after="80" w:line="300" w:lineRule="auto"/>
        <w:ind w:left="540" w:hanging="271"/>
      </w:pPr>
      <w:r>
        <w:rPr>
          <w:rFonts w:ascii="Segoe UI" w:hAnsi="Segoe UI"/>
          <w:color w:val="19322B"/>
          <w:sz w:val="22"/>
        </w:rPr>
        <w:t>Update the color section of the style guide.</w:t>
      </w:r>
    </w:p>
    <w:p>
      <w:pPr>
        <w:numPr>
          <w:ilvl w:val="0"/>
          <w:numId w:val="17"/>
        </w:numPr>
        <w:spacing w:before="0" w:after="80" w:line="300" w:lineRule="auto"/>
        <w:ind w:left="540" w:hanging="271"/>
      </w:pPr>
      <w:r>
        <w:rPr>
          <w:rFonts w:ascii="Segoe UI" w:hAnsi="Segoe UI"/>
          <w:color w:val="19322B"/>
          <w:sz w:val="22"/>
        </w:rPr>
        <w:t>Check contrast on every standard foreground/background pairing affected.</w:t>
      </w:r>
    </w:p>
    <w:p>
      <w:pPr>
        <w:numPr>
          <w:ilvl w:val="0"/>
          <w:numId w:val="17"/>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numPr>
          <w:ilvl w:val="0"/>
          <w:numId w:val="18"/>
        </w:numPr>
        <w:spacing w:before="0" w:after="80" w:line="300" w:lineRule="auto"/>
        <w:ind w:left="540" w:hanging="271"/>
      </w:pPr>
      <w:r>
        <w:rPr>
          <w:rFonts w:ascii="Segoe UI" w:hAnsi="Segoe UI"/>
          <w:color w:val="19322B"/>
          <w:sz w:val="22"/>
        </w:rPr>
        <w:t>HTML label and control;</w:t>
      </w:r>
    </w:p>
    <w:p>
      <w:pPr>
        <w:numPr>
          <w:ilvl w:val="0"/>
          <w:numId w:val="18"/>
        </w:numPr>
        <w:spacing w:before="0" w:after="80" w:line="300" w:lineRule="auto"/>
        <w:ind w:left="540" w:hanging="271"/>
      </w:pPr>
      <w:r>
        <w:rPr>
          <w:rFonts w:ascii="Segoe UI" w:hAnsi="Segoe UI"/>
          <w:color w:val="19322B"/>
          <w:sz w:val="22"/>
        </w:rPr>
        <w:t>browser validation and payload;</w:t>
      </w:r>
    </w:p>
    <w:p>
      <w:pPr>
        <w:numPr>
          <w:ilvl w:val="0"/>
          <w:numId w:val="18"/>
        </w:numPr>
        <w:spacing w:before="0" w:after="80" w:line="300" w:lineRule="auto"/>
        <w:ind w:left="540" w:hanging="271"/>
      </w:pPr>
      <w:r>
        <w:rPr>
          <w:rFonts w:ascii="Segoe UI" w:hAnsi="Segoe UI"/>
          <w:color w:val="19322B"/>
          <w:sz w:val="22"/>
        </w:rPr>
        <w:t>Worker schema validation;</w:t>
      </w:r>
    </w:p>
    <w:p>
      <w:pPr>
        <w:numPr>
          <w:ilvl w:val="0"/>
          <w:numId w:val="18"/>
        </w:numPr>
        <w:spacing w:before="0" w:after="80" w:line="300" w:lineRule="auto"/>
        <w:ind w:left="540" w:hanging="271"/>
      </w:pPr>
      <w:r>
        <w:rPr>
          <w:rFonts w:ascii="Segoe UI" w:hAnsi="Segoe UI"/>
          <w:color w:val="19322B"/>
          <w:sz w:val="22"/>
        </w:rPr>
        <w:t>D1 migration if persistence changes;</w:t>
      </w:r>
    </w:p>
    <w:p>
      <w:pPr>
        <w:numPr>
          <w:ilvl w:val="0"/>
          <w:numId w:val="18"/>
        </w:numPr>
        <w:spacing w:before="0" w:after="80" w:line="300" w:lineRule="auto"/>
        <w:ind w:left="540" w:hanging="271"/>
      </w:pPr>
      <w:r>
        <w:rPr>
          <w:rFonts w:ascii="Segoe UI" w:hAnsi="Segoe UI"/>
          <w:color w:val="19322B"/>
          <w:sz w:val="22"/>
        </w:rPr>
        <w:t>admin display/edit/export behavior;</w:t>
      </w:r>
    </w:p>
    <w:p>
      <w:pPr>
        <w:numPr>
          <w:ilvl w:val="0"/>
          <w:numId w:val="18"/>
        </w:numPr>
        <w:spacing w:before="0" w:after="80" w:line="300" w:lineRule="auto"/>
        <w:ind w:left="540" w:hanging="271"/>
      </w:pPr>
      <w:r>
        <w:rPr>
          <w:rFonts w:ascii="Segoe UI" w:hAnsi="Segoe UI"/>
          <w:color w:val="19322B"/>
          <w:sz w:val="22"/>
        </w:rPr>
        <w:t>tests; and</w:t>
      </w:r>
    </w:p>
    <w:p>
      <w:pPr>
        <w:numPr>
          <w:ilvl w:val="0"/>
          <w:numId w:val="18"/>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numPr>
          <w:ilvl w:val="0"/>
          <w:numId w:val="10"/>
        </w:numPr>
        <w:spacing w:before="0" w:after="80" w:line="300" w:lineRule="auto"/>
        <w:ind w:left="540" w:hanging="271"/>
      </w:pPr>
      <w:r>
        <w:rPr>
          <w:rFonts w:ascii="Segoe UI" w:hAnsi="Segoe UI"/>
          <w:color w:val="19322B"/>
          <w:sz w:val="22"/>
        </w:rPr>
        <w:t>Preserve CSRF checks for state-changing admin requests.</w:t>
      </w:r>
    </w:p>
    <w:p>
      <w:pPr>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numPr>
          <w:ilvl w:val="0"/>
          <w:numId w:val="10"/>
        </w:numPr>
        <w:spacing w:before="0" w:after="80" w:line="300" w:lineRule="auto"/>
        <w:ind w:left="540" w:hanging="271"/>
      </w:pPr>
      <w:r>
        <w:rPr>
          <w:rFonts w:ascii="Segoe UI" w:hAnsi="Segoe UI"/>
          <w:color w:val="19322B"/>
          <w:sz w:val="22"/>
        </w:rPr>
        <w:t>Keep admin pages noindex and no-store.</w:t>
      </w:r>
    </w:p>
    <w:p>
      <w:pPr>
        <w:numPr>
          <w:ilvl w:val="0"/>
          <w:numId w:val="10"/>
        </w:numPr>
        <w:spacing w:before="0" w:after="80" w:line="300" w:lineRule="auto"/>
        <w:ind w:left="540" w:hanging="271"/>
      </w:pPr>
      <w:r>
        <w:rPr>
          <w:rFonts w:ascii="Segoe UI" w:hAnsi="Segoe UI"/>
          <w:color w:val="19322B"/>
          <w:sz w:val="22"/>
        </w:rPr>
        <w:t>Keep CSV formula neutralization.</w:t>
      </w:r>
    </w:p>
    <w:p>
      <w:pPr>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numPr>
          <w:ilvl w:val="0"/>
          <w:numId w:val="10"/>
        </w:numPr>
        <w:spacing w:before="0" w:after="80" w:line="300" w:lineRule="auto"/>
        <w:ind w:left="540" w:hanging="271"/>
      </w:pPr>
      <w:r>
        <w:rPr>
          <w:rFonts w:ascii="Segoe UI" w:hAnsi="Segoe UI"/>
          <w:color w:val="19322B"/>
          <w:sz w:val="22"/>
        </w:rPr>
        <w:t>confirm the intended environment and hostname;</w:t>
      </w:r>
    </w:p>
    <w:p>
      <w:pPr>
        <w:numPr>
          <w:ilvl w:val="0"/>
          <w:numId w:val="10"/>
        </w:numPr>
        <w:spacing w:before="0" w:after="80" w:line="300" w:lineRule="auto"/>
        <w:ind w:left="540" w:hanging="271"/>
      </w:pPr>
      <w:r>
        <w:rPr>
          <w:rFonts w:ascii="Segoe UI" w:hAnsi="Segoe UI"/>
          <w:color w:val="19322B"/>
          <w:sz w:val="22"/>
        </w:rPr>
        <w:t>confirm all required migrations and secrets;</w:t>
      </w:r>
    </w:p>
    <w:p>
      <w:pPr>
        <w:numPr>
          <w:ilvl w:val="0"/>
          <w:numId w:val="10"/>
        </w:numPr>
        <w:spacing w:before="0" w:after="80" w:line="300" w:lineRule="auto"/>
        <w:ind w:left="540" w:hanging="271"/>
      </w:pPr>
      <w:r>
        <w:rPr>
          <w:rFonts w:ascii="Segoe UI" w:hAnsi="Segoe UI"/>
          <w:color w:val="19322B"/>
          <w:sz w:val="22"/>
        </w:rPr>
        <w:t>run relevant tests, type checks, and dry runs;</w:t>
      </w:r>
    </w:p>
    <w:p>
      <w:pPr>
        <w:numPr>
          <w:ilvl w:val="0"/>
          <w:numId w:val="10"/>
        </w:numPr>
        <w:spacing w:before="0" w:after="80" w:line="300" w:lineRule="auto"/>
        <w:ind w:left="540" w:hanging="271"/>
      </w:pPr>
      <w:r>
        <w:rPr>
          <w:rFonts w:ascii="Segoe UI" w:hAnsi="Segoe UI"/>
          <w:color w:val="19322B"/>
          <w:sz w:val="22"/>
        </w:rPr>
        <w:t>review the complete diff;</w:t>
      </w:r>
    </w:p>
    <w:p>
      <w:pPr>
        <w:numPr>
          <w:ilvl w:val="0"/>
          <w:numId w:val="10"/>
        </w:numPr>
        <w:spacing w:before="0" w:after="80" w:line="300" w:lineRule="auto"/>
        <w:ind w:left="540" w:hanging="271"/>
      </w:pPr>
      <w:r>
        <w:rPr>
          <w:rFonts w:ascii="Segoe UI" w:hAnsi="Segoe UI"/>
          <w:color w:val="19322B"/>
          <w:sz w:val="22"/>
        </w:rPr>
        <w:t>verify cache-busting versions;</w:t>
      </w:r>
    </w:p>
    <w:p>
      <w:pPr>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 xml:space="preserve">The current Interest Worker configuration targets the test environment and the route </w:t>
      </w:r>
      <w:r>
        <w:rPr>
          <w:rFonts w:ascii="Consolas" w:hAnsi="Consolas"/>
          <w:color w:val="173F35"/>
          <w:sz w:val="20"/>
          <w:shd w:fill="EDF5F1"/>
        </w:rPr>
        <w:t>test.hopesojourns.com/api/interest/*</w:t>
      </w:r>
      <w:r>
        <w:rPr>
          <w:rFonts w:ascii="Segoe UI" w:hAnsi="Segoe UI"/>
          <w:color w:val="19322B"/>
          <w:sz w:val="22"/>
        </w:rPr>
        <w:t>. The PayPal Worker configuration uses production PayPal endpoints. Treat those differences as important operational context.</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numPr>
          <w:ilvl w:val="0"/>
          <w:numId w:val="10"/>
        </w:numPr>
        <w:spacing w:before="0" w:after="80" w:line="300" w:lineRule="auto"/>
        <w:ind w:left="540" w:hanging="271"/>
      </w:pPr>
      <w:r>
        <w:rPr>
          <w:rFonts w:ascii="Consolas" w:hAnsi="Consolas"/>
          <w:color w:val="173F35"/>
          <w:sz w:val="20"/>
          <w:shd w:fill="EDF5F1"/>
        </w:rPr>
        <w:t>/docs/tech-admin/Hope-Sojourns-Style-Guide.md</w:t>
      </w:r>
    </w:p>
    <w:p>
      <w:pPr>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numPr>
          <w:ilvl w:val="0"/>
          <w:numId w:val="12"/>
        </w:numPr>
        <w:spacing w:before="0" w:after="80" w:line="300" w:lineRule="auto"/>
        <w:ind w:left="540" w:hanging="271"/>
      </w:pPr>
      <w:r>
        <w:rPr>
          <w:rFonts w:ascii="Segoe UI" w:hAnsi="Segoe UI"/>
          <w:color w:val="19322B"/>
          <w:sz w:val="22"/>
        </w:rPr>
        <w:t>The requested behavior is complete.</w:t>
      </w:r>
    </w:p>
    <w:p>
      <w:pPr>
        <w:numPr>
          <w:ilvl w:val="0"/>
          <w:numId w:val="12"/>
        </w:numPr>
        <w:spacing w:before="0" w:after="80" w:line="300" w:lineRule="auto"/>
        <w:ind w:left="540" w:hanging="271"/>
      </w:pPr>
      <w:r>
        <w:rPr>
          <w:rFonts w:ascii="Segoe UI" w:hAnsi="Segoe UI"/>
          <w:color w:val="19322B"/>
          <w:sz w:val="22"/>
        </w:rPr>
        <w:t>Relevant automated checks passed.</w:t>
      </w:r>
    </w:p>
    <w:p>
      <w:pPr>
        <w:numPr>
          <w:ilvl w:val="0"/>
          <w:numId w:val="12"/>
        </w:numPr>
        <w:spacing w:before="0" w:after="80" w:line="300" w:lineRule="auto"/>
        <w:ind w:left="540" w:hanging="271"/>
      </w:pPr>
      <w:r>
        <w:rPr>
          <w:rFonts w:ascii="Segoe UI" w:hAnsi="Segoe UI"/>
          <w:color w:val="19322B"/>
          <w:sz w:val="22"/>
        </w:rPr>
        <w:t>Desktop and narrow visual checks passed when UI changed.</w:t>
      </w:r>
    </w:p>
    <w:p>
      <w:pPr>
        <w:numPr>
          <w:ilvl w:val="0"/>
          <w:numId w:val="12"/>
        </w:numPr>
        <w:spacing w:before="0" w:after="80" w:line="300" w:lineRule="auto"/>
        <w:ind w:left="540" w:hanging="271"/>
      </w:pPr>
      <w:r>
        <w:rPr>
          <w:rFonts w:ascii="Segoe UI" w:hAnsi="Segoe UI"/>
          <w:color w:val="19322B"/>
          <w:sz w:val="22"/>
        </w:rPr>
        <w:t>No secrets or personal data were introduced.</w:t>
      </w:r>
    </w:p>
    <w:p>
      <w:pPr>
        <w:numPr>
          <w:ilvl w:val="0"/>
          <w:numId w:val="12"/>
        </w:numPr>
        <w:spacing w:before="0" w:after="80" w:line="300" w:lineRule="auto"/>
        <w:ind w:left="540" w:hanging="271"/>
      </w:pPr>
      <w:r>
        <w:rPr>
          <w:rFonts w:ascii="Segoe UI" w:hAnsi="Segoe UI"/>
          <w:color w:val="19322B"/>
          <w:sz w:val="22"/>
        </w:rPr>
        <w:t>Only intended files changed; unrelated work was preserved.</w:t>
      </w:r>
    </w:p>
    <w:p>
      <w:pPr>
        <w:numPr>
          <w:ilvl w:val="0"/>
          <w:numId w:val="12"/>
        </w:numPr>
        <w:spacing w:before="0" w:after="80" w:line="300" w:lineRule="auto"/>
        <w:ind w:left="540" w:hanging="271"/>
      </w:pPr>
      <w:r>
        <w:rPr>
          <w:rFonts w:ascii="Segoe UI" w:hAnsi="Segoe UI"/>
          <w:color w:val="19322B"/>
          <w:sz w:val="22"/>
        </w:rPr>
        <w:t>Cache-busting versions were updated where needed.</w:t>
      </w:r>
    </w:p>
    <w:p>
      <w:pPr>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numPr>
          <w:ilvl w:val="0"/>
          <w:numId w:val="12"/>
        </w:numPr>
        <w:spacing w:before="0" w:after="80" w:line="300" w:lineRule="auto"/>
        <w:ind w:left="540" w:hanging="271"/>
      </w:pPr>
      <w:r>
        <w:rPr>
          <w:rFonts w:ascii="Segoe UI" w:hAnsi="Segoe UI"/>
          <w:color w:val="19322B"/>
          <w:sz w:val="22"/>
        </w:rPr>
        <w:t>TechAdmin copies were synchronized.</w:t>
      </w:r>
    </w:p>
    <w:p>
      <w:pPr>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the generated Microsoft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comprehensive, conflict-safe synchronization for all published website documents and documented the daily 2:30 a.m. scheduled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developer guide from the current static site, response portal, Workers, validation rules, and maintenance workflows.</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abstractNum w:abstractNumId="17">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8">
    <w:abstractNumId w:val="17"/>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