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4.11</w:t>
      </w:r>
      <w:r>
        <w:rPr>
          <w:rFonts w:ascii="Segoe UI" w:hAnsi="Segoe UI"/>
          <w:color w:val="D99B42"/>
          <w:sz w:val="20"/>
        </w:rPr>
        <w:t xml:space="preserve">  •  </w:t>
      </w:r>
      <w:r>
        <w:rPr>
          <w:rFonts w:ascii="Segoe UI" w:hAnsi="Segoe UI"/>
          <w:color w:val="60726B"/>
          <w:sz w:val="20"/>
        </w:rPr>
        <w:t>Last reviewed September 23,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20" w:line="240" w:lineRule="auto"/>
        <w:ind w:left="540" w:hanging="271"/>
      </w:pPr>
      <w:r>
        <w:rPr>
          <w:rFonts w:ascii="Segoe UI" w:hAnsi="Segoe UI"/>
          <w:color w:val="19322B"/>
          <w:sz w:val="21"/>
        </w:rPr>
        <w:t>Contact giving history</w:t>
      </w:r>
    </w:p>
    <w:p>
      <w:pPr>
        <w:numPr>
          <w:ilvl w:val="0"/>
          <w:numId w:val="13"/>
        </w:numPr>
        <w:spacing w:before="0" w:after="20" w:line="240" w:lineRule="auto"/>
        <w:ind w:left="540" w:hanging="271"/>
      </w:pPr>
      <w:r>
        <w:rPr>
          <w:rFonts w:ascii="Segoe UI" w:hAnsi="Segoe UI"/>
          <w:color w:val="19322B"/>
          <w:sz w:val="21"/>
        </w:rPr>
        <w:t>Planning workspace and interested submission review</w:t>
      </w:r>
    </w:p>
    <w:p>
      <w:pPr>
        <w:numPr>
          <w:ilvl w:val="0"/>
          <w:numId w:val="13"/>
        </w:numPr>
        <w:spacing w:before="0" w:after="20" w:line="240" w:lineRule="auto"/>
        <w:ind w:left="540" w:hanging="271"/>
      </w:pPr>
      <w:r>
        <w:rPr>
          <w:rFonts w:ascii="Segoe UI" w:hAnsi="Segoe UI"/>
          <w:color w:val="19322B"/>
          <w:sz w:val="21"/>
        </w:rPr>
        <w:t>Trip photos and past trip stories</w:t>
      </w:r>
    </w:p>
    <w:p>
      <w:pPr>
        <w:numPr>
          <w:ilvl w:val="0"/>
          <w:numId w:val="13"/>
        </w:numPr>
        <w:spacing w:before="0" w:after="20" w:line="240" w:lineRule="auto"/>
        <w:ind w:left="540" w:hanging="271"/>
      </w:pPr>
      <w:r>
        <w:rPr>
          <w:rFonts w:ascii="Segoe UI" w:hAnsi="Segoe UI"/>
          <w:color w:val="19322B"/>
          <w:sz w:val="21"/>
        </w:rPr>
        <w:t>Shared MMT navigation</w:t>
      </w:r>
    </w:p>
    <w:p>
      <w:pPr>
        <w:numPr>
          <w:ilvl w:val="0"/>
          <w:numId w:val="13"/>
        </w:numPr>
        <w:spacing w:before="0" w:after="20" w:line="240" w:lineRule="auto"/>
        <w:ind w:left="540" w:hanging="271"/>
      </w:pPr>
      <w:r>
        <w:rPr>
          <w:rFonts w:ascii="Segoe UI" w:hAnsi="Segoe UI"/>
          <w:color w:val="19322B"/>
          <w:sz w:val="21"/>
        </w:rPr>
        <w:t>Devotional library</w:t>
      </w:r>
    </w:p>
    <w:p>
      <w:pPr>
        <w:numPr>
          <w:ilvl w:val="0"/>
          <w:numId w:val="13"/>
        </w:numPr>
        <w:spacing w:before="0" w:after="20" w:line="240" w:lineRule="auto"/>
        <w:ind w:left="540" w:hanging="271"/>
      </w:pPr>
      <w:r>
        <w:rPr>
          <w:rFonts w:ascii="Segoe UI" w:hAnsi="Segoe UI"/>
          <w:color w:val="19322B"/>
          <w:sz w:val="21"/>
        </w:rPr>
        <w:t>Collapsible devotional days</w:t>
      </w:r>
    </w:p>
    <w:p>
      <w:pPr>
        <w:numPr>
          <w:ilvl w:val="0"/>
          <w:numId w:val="13"/>
        </w:numPr>
        <w:spacing w:before="0" w:after="20" w:line="240" w:lineRule="auto"/>
        <w:ind w:left="540" w:hanging="271"/>
      </w:pPr>
      <w:r>
        <w:rPr>
          <w:rFonts w:ascii="Segoe UI" w:hAnsi="Segoe UI"/>
          <w:color w:val="19322B"/>
          <w:sz w:val="21"/>
        </w:rPr>
        <w:t>Traveler study typography</w:t>
      </w:r>
    </w:p>
    <w:p>
      <w:pPr>
        <w:numPr>
          <w:ilvl w:val="0"/>
          <w:numId w:val="13"/>
        </w:numPr>
        <w:spacing w:before="0" w:after="20" w:line="240" w:lineRule="auto"/>
        <w:ind w:left="540" w:hanging="271"/>
      </w:pPr>
      <w:r>
        <w:rPr>
          <w:rFonts w:ascii="Segoe UI" w:hAnsi="Segoe UI"/>
          <w:color w:val="19322B"/>
          <w:sz w:val="21"/>
        </w:rPr>
        <w:t>Dated trip preview layout</w:t>
      </w:r>
    </w:p>
    <w:p>
      <w:pPr>
        <w:numPr>
          <w:ilvl w:val="0"/>
          <w:numId w:val="13"/>
        </w:numPr>
        <w:spacing w:before="0" w:after="20" w:line="240" w:lineRule="auto"/>
        <w:ind w:left="540" w:hanging="271"/>
      </w:pPr>
      <w:r>
        <w:rPr>
          <w:rFonts w:ascii="Segoe UI" w:hAnsi="Segoe UI"/>
          <w:color w:val="19322B"/>
          <w:sz w:val="21"/>
        </w:rPr>
        <w:t>Current shared trip password</w:t>
      </w:r>
    </w:p>
    <w:p>
      <w:pPr>
        <w:numPr>
          <w:ilvl w:val="0"/>
          <w:numId w:val="13"/>
        </w:numPr>
        <w:spacing w:before="0" w:after="20" w:line="240" w:lineRule="auto"/>
        <w:ind w:left="540" w:hanging="271"/>
      </w:pPr>
      <w:r>
        <w:rPr>
          <w:rFonts w:ascii="Segoe UI" w:hAnsi="Segoe UI"/>
          <w:color w:val="19322B"/>
          <w:sz w:val="21"/>
        </w:rPr>
        <w:t>Inbox completion and trash</w:t>
      </w:r>
    </w:p>
    <w:p>
      <w:pPr>
        <w:numPr>
          <w:ilvl w:val="0"/>
          <w:numId w:val="13"/>
        </w:numPr>
        <w:spacing w:before="0" w:after="20" w:line="240" w:lineRule="auto"/>
        <w:ind w:left="540" w:hanging="271"/>
      </w:pPr>
      <w:r>
        <w:rPr>
          <w:rFonts w:ascii="Segoe UI" w:hAnsi="Segoe UI"/>
          <w:color w:val="19322B"/>
          <w:sz w:val="21"/>
        </w:rPr>
        <w:t>Contact directory and spreadsheet</w:t>
      </w:r>
    </w:p>
    <w:p>
      <w:pPr>
        <w:numPr>
          <w:ilvl w:val="0"/>
          <w:numId w:val="13"/>
        </w:numPr>
        <w:spacing w:before="0" w:after="20" w:line="240" w:lineRule="auto"/>
        <w:ind w:left="540" w:hanging="271"/>
      </w:pPr>
      <w:r>
        <w:rPr>
          <w:rFonts w:ascii="Segoe UI" w:hAnsi="Segoe UI"/>
          <w:color w:val="19322B"/>
          <w:sz w:val="21"/>
        </w:rPr>
        <w:t>Trip budget comparison and bulk editing</w:t>
      </w:r>
    </w:p>
    <w:p>
      <w:pPr>
        <w:numPr>
          <w:ilvl w:val="0"/>
          <w:numId w:val="13"/>
        </w:numPr>
        <w:spacing w:before="0" w:after="20" w:line="240" w:lineRule="auto"/>
        <w:ind w:left="540" w:hanging="271"/>
      </w:pPr>
      <w:r>
        <w:rPr>
          <w:rFonts w:ascii="Segoe UI" w:hAnsi="Segoe UI"/>
          <w:color w:val="19322B"/>
          <w:sz w:val="21"/>
        </w:rPr>
        <w:t>Shared portal account management</w:t>
      </w:r>
    </w:p>
    <w:p>
      <w:pPr>
        <w:numPr>
          <w:ilvl w:val="0"/>
          <w:numId w:val="13"/>
        </w:numPr>
        <w:spacing w:before="0" w:after="20" w:line="240" w:lineRule="auto"/>
        <w:ind w:left="540" w:hanging="271"/>
      </w:pPr>
      <w:r>
        <w:rPr>
          <w:rFonts w:ascii="Segoe UI" w:hAnsi="Segoe UI"/>
          <w:color w:val="19322B"/>
          <w:sz w:val="21"/>
        </w:rPr>
        <w:t>Donation split editor</w:t>
      </w:r>
    </w:p>
    <w:p>
      <w:pPr>
        <w:numPr>
          <w:ilvl w:val="0"/>
          <w:numId w:val="13"/>
        </w:numPr>
        <w:spacing w:before="0" w:after="20" w:line="240" w:lineRule="auto"/>
        <w:ind w:left="540" w:hanging="271"/>
      </w:pPr>
      <w:r>
        <w:rPr>
          <w:rFonts w:ascii="Segoe UI" w:hAnsi="Segoe UI"/>
          <w:color w:val="19322B"/>
          <w:sz w:val="21"/>
        </w:rPr>
        <w:t>MMT account and access screens</w:t>
      </w:r>
    </w:p>
    <w:p>
      <w:pPr>
        <w:numPr>
          <w:ilvl w:val="0"/>
          <w:numId w:val="13"/>
        </w:numPr>
        <w:spacing w:before="0" w:after="20" w:line="240" w:lineRule="auto"/>
        <w:ind w:left="540" w:hanging="271"/>
      </w:pPr>
      <w:r>
        <w:rPr>
          <w:rFonts w:ascii="Segoe UI" w:hAnsi="Segoe UI"/>
          <w:color w:val="19322B"/>
          <w:sz w:val="21"/>
        </w:rPr>
        <w:t>Destination management patterns</w:t>
      </w:r>
    </w:p>
    <w:p>
      <w:pPr>
        <w:numPr>
          <w:ilvl w:val="0"/>
          <w:numId w:val="13"/>
        </w:numPr>
        <w:spacing w:before="0" w:after="20" w:line="240" w:lineRule="auto"/>
        <w:ind w:left="540" w:hanging="271"/>
      </w:pPr>
      <w:r>
        <w:rPr>
          <w:rFonts w:ascii="Segoe UI" w:hAnsi="Segoe UI"/>
          <w:color w:val="19322B"/>
          <w:sz w:val="21"/>
        </w:rPr>
        <w:t>Purpose</w:t>
      </w:r>
    </w:p>
    <w:p>
      <w:pPr>
        <w:numPr>
          <w:ilvl w:val="0"/>
          <w:numId w:val="13"/>
        </w:numPr>
        <w:spacing w:before="0" w:after="20" w:line="240" w:lineRule="auto"/>
        <w:ind w:left="540" w:hanging="271"/>
      </w:pPr>
      <w:r>
        <w:rPr>
          <w:rFonts w:ascii="Segoe UI" w:hAnsi="Segoe UI"/>
          <w:color w:val="19322B"/>
          <w:sz w:val="21"/>
        </w:rPr>
        <w:t>Canonical design sources</w:t>
      </w:r>
    </w:p>
    <w:p>
      <w:pPr>
        <w:numPr>
          <w:ilvl w:val="0"/>
          <w:numId w:val="13"/>
        </w:numPr>
        <w:spacing w:before="0" w:after="20" w:line="240" w:lineRule="auto"/>
        <w:ind w:left="540" w:hanging="271"/>
      </w:pPr>
      <w:r>
        <w:rPr>
          <w:rFonts w:ascii="Segoe UI" w:hAnsi="Segoe UI"/>
          <w:color w:val="19322B"/>
          <w:sz w:val="21"/>
        </w:rPr>
        <w:t>Brand foundation</w:t>
      </w:r>
    </w:p>
    <w:p>
      <w:pPr>
        <w:numPr>
          <w:ilvl w:val="0"/>
          <w:numId w:val="13"/>
        </w:numPr>
        <w:spacing w:before="0" w:after="20" w:line="240" w:lineRule="auto"/>
        <w:ind w:left="540" w:hanging="271"/>
      </w:pPr>
      <w:r>
        <w:rPr>
          <w:rFonts w:ascii="Segoe UI" w:hAnsi="Segoe UI"/>
          <w:color w:val="19322B"/>
          <w:sz w:val="21"/>
        </w:rPr>
        <w:t>Logo system</w:t>
      </w:r>
    </w:p>
    <w:p>
      <w:pPr>
        <w:numPr>
          <w:ilvl w:val="0"/>
          <w:numId w:val="13"/>
        </w:numPr>
        <w:spacing w:before="0" w:after="20" w:line="240" w:lineRule="auto"/>
        <w:ind w:left="540" w:hanging="271"/>
      </w:pPr>
      <w:r>
        <w:rPr>
          <w:rFonts w:ascii="Segoe UI" w:hAnsi="Segoe UI"/>
          <w:color w:val="19322B"/>
          <w:sz w:val="21"/>
        </w:rPr>
        <w:t>Color system</w:t>
      </w:r>
    </w:p>
    <w:p>
      <w:pPr>
        <w:numPr>
          <w:ilvl w:val="0"/>
          <w:numId w:val="13"/>
        </w:numPr>
        <w:spacing w:before="0" w:after="20" w:line="240" w:lineRule="auto"/>
        <w:ind w:left="540" w:hanging="271"/>
      </w:pPr>
      <w:r>
        <w:rPr>
          <w:rFonts w:ascii="Segoe UI" w:hAnsi="Segoe UI"/>
          <w:color w:val="19322B"/>
          <w:sz w:val="21"/>
        </w:rPr>
        <w:t>Typography</w:t>
      </w:r>
    </w:p>
    <w:p>
      <w:pPr>
        <w:numPr>
          <w:ilvl w:val="0"/>
          <w:numId w:val="13"/>
        </w:numPr>
        <w:spacing w:before="0" w:after="20" w:line="240" w:lineRule="auto"/>
        <w:ind w:left="540" w:hanging="271"/>
      </w:pPr>
      <w:r>
        <w:rPr>
          <w:rFonts w:ascii="Segoe UI" w:hAnsi="Segoe UI"/>
          <w:color w:val="19322B"/>
          <w:sz w:val="21"/>
        </w:rPr>
        <w:t>Layout and spacing</w:t>
      </w:r>
    </w:p>
    <w:p>
      <w:pPr>
        <w:numPr>
          <w:ilvl w:val="0"/>
          <w:numId w:val="13"/>
        </w:numPr>
        <w:spacing w:before="0" w:after="20" w:line="240" w:lineRule="auto"/>
        <w:ind w:left="540" w:hanging="271"/>
      </w:pPr>
      <w:r>
        <w:rPr>
          <w:rFonts w:ascii="Segoe UI" w:hAnsi="Segoe UI"/>
          <w:color w:val="19322B"/>
          <w:sz w:val="21"/>
        </w:rPr>
        <w:t>Core components</w:t>
      </w:r>
    </w:p>
    <w:p>
      <w:pPr>
        <w:numPr>
          <w:ilvl w:val="0"/>
          <w:numId w:val="13"/>
        </w:numPr>
        <w:spacing w:before="0" w:after="20" w:line="240" w:lineRule="auto"/>
        <w:ind w:left="540" w:hanging="271"/>
      </w:pPr>
      <w:r>
        <w:rPr>
          <w:rFonts w:ascii="Segoe UI" w:hAnsi="Segoe UI"/>
          <w:color w:val="19322B"/>
          <w:sz w:val="21"/>
        </w:rPr>
        <w:t>Photography and media</w:t>
      </w:r>
    </w:p>
    <w:p>
      <w:pPr>
        <w:numPr>
          <w:ilvl w:val="0"/>
          <w:numId w:val="13"/>
        </w:numPr>
        <w:spacing w:before="0" w:after="20" w:line="240" w:lineRule="auto"/>
        <w:ind w:left="540" w:hanging="271"/>
      </w:pPr>
      <w:r>
        <w:rPr>
          <w:rFonts w:ascii="Segoe UI" w:hAnsi="Segoe UI"/>
          <w:color w:val="19322B"/>
          <w:sz w:val="21"/>
        </w:rPr>
        <w:t>Voice and content standards</w:t>
      </w:r>
    </w:p>
    <w:p>
      <w:pPr>
        <w:numPr>
          <w:ilvl w:val="0"/>
          <w:numId w:val="13"/>
        </w:numPr>
        <w:spacing w:before="0" w:after="20" w:line="240" w:lineRule="auto"/>
        <w:ind w:left="540" w:hanging="271"/>
      </w:pPr>
      <w:r>
        <w:rPr>
          <w:rFonts w:ascii="Segoe UI" w:hAnsi="Segoe UI"/>
          <w:color w:val="19322B"/>
          <w:sz w:val="21"/>
        </w:rPr>
        <w:t>Accessibility standards</w:t>
      </w:r>
    </w:p>
    <w:p>
      <w:pPr>
        <w:numPr>
          <w:ilvl w:val="0"/>
          <w:numId w:val="13"/>
        </w:numPr>
        <w:spacing w:before="0" w:after="20" w:line="240" w:lineRule="auto"/>
        <w:ind w:left="540" w:hanging="271"/>
      </w:pPr>
      <w:r>
        <w:rPr>
          <w:rFonts w:ascii="Segoe UI" w:hAnsi="Segoe UI"/>
          <w:color w:val="19322B"/>
          <w:sz w:val="21"/>
        </w:rPr>
        <w:t>Motion standards</w:t>
      </w:r>
    </w:p>
    <w:p>
      <w:pPr>
        <w:numPr>
          <w:ilvl w:val="0"/>
          <w:numId w:val="13"/>
        </w:numPr>
        <w:spacing w:before="0" w:after="20" w:line="240" w:lineRule="auto"/>
        <w:ind w:left="540" w:hanging="271"/>
      </w:pPr>
      <w:r>
        <w:rPr>
          <w:rFonts w:ascii="Segoe UI" w:hAnsi="Segoe UI"/>
          <w:color w:val="19322B"/>
          <w:sz w:val="21"/>
        </w:rPr>
        <w:t>New page checklist</w:t>
      </w:r>
    </w:p>
    <w:p>
      <w:pPr>
        <w:numPr>
          <w:ilvl w:val="0"/>
          <w:numId w:val="13"/>
        </w:numPr>
        <w:spacing w:before="0" w:after="20" w:line="240" w:lineRule="auto"/>
        <w:ind w:left="540" w:hanging="271"/>
      </w:pPr>
      <w:r>
        <w:rPr>
          <w:rFonts w:ascii="Segoe UI" w:hAnsi="Segoe UI"/>
          <w:color w:val="19322B"/>
          <w:sz w:val="21"/>
        </w:rPr>
        <w:t>Governance</w:t>
      </w:r>
    </w:p>
    <w:p>
      <w:pPr>
        <w:numPr>
          <w:ilvl w:val="0"/>
          <w:numId w:val="13"/>
        </w:numPr>
        <w:spacing w:before="0" w:after="20" w:line="240" w:lineRule="auto"/>
        <w:ind w:left="540" w:hanging="271"/>
      </w:pPr>
      <w:r>
        <w:rPr>
          <w:rFonts w:ascii="Segoe UI" w:hAnsi="Segoe UI"/>
          <w:color w:val="19322B"/>
          <w:sz w:val="21"/>
        </w:rPr>
        <w:t>Ministry Management interface</w:t>
      </w:r>
    </w:p>
    <w:p>
      <w:pPr>
        <w:numPr>
          <w:ilvl w:val="0"/>
          <w:numId w:val="13"/>
        </w:numPr>
        <w:spacing w:before="0" w:after="20" w:line="240" w:lineRule="auto"/>
        <w:ind w:left="540" w:hanging="271"/>
      </w:pPr>
      <w:r>
        <w:rPr>
          <w:rFonts w:ascii="Segoe UI" w:hAnsi="Segoe UI"/>
          <w:color w:val="19322B"/>
          <w:sz w:val="21"/>
        </w:rPr>
        <w:t>Expanded bookkeeping screens</w:t>
      </w:r>
    </w:p>
    <w:p>
      <w:pPr>
        <w:numPr>
          <w:ilvl w:val="0"/>
          <w:numId w:val="13"/>
        </w:numPr>
        <w:spacing w:before="0" w:after="20" w:line="240" w:lineRule="auto"/>
        <w:ind w:left="540" w:hanging="271"/>
      </w:pPr>
      <w:r>
        <w:rPr>
          <w:rFonts w:ascii="Segoe UI" w:hAnsi="Segoe UI"/>
          <w:color w:val="19322B"/>
          <w:sz w:val="21"/>
        </w:rPr>
        <w:t>User deletion</w:t>
      </w:r>
    </w:p>
    <w:p>
      <w:pPr>
        <w:numPr>
          <w:ilvl w:val="0"/>
          <w:numId w:val="13"/>
        </w:numPr>
        <w:spacing w:before="0" w:after="20" w:line="240" w:lineRule="auto"/>
        <w:ind w:left="540" w:hanging="271"/>
      </w:pPr>
      <w:r>
        <w:rPr>
          <w:rFonts w:ascii="Segoe UI" w:hAnsi="Segoe UI"/>
          <w:color w:val="19322B"/>
          <w:sz w:val="21"/>
        </w:rPr>
        <w:t>Personally received gift presentation</w:t>
      </w:r>
    </w:p>
    <w:p>
      <w:pPr>
        <w:numPr>
          <w:ilvl w:val="0"/>
          <w:numId w:val="13"/>
        </w:numPr>
        <w:spacing w:before="0" w:after="2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the full image in a new tab.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a new tab. Image links include an accessible full-size label.</w:t>
      </w:r>
    </w:p>
    <w:p>
      <w:r>
        <w:rPr>
          <w:rFonts w:ascii="Segoe UI" w:hAnsi="Segoe UI"/>
          <w:color w:val="19322B"/>
          <w:sz w:val="22"/>
        </w:rPr>
        <w:t>Photos and videos share the traveler gallery and are sorted together by assigned date. Video tiles show a preview frame when supported and a clearly labeled Play video button. Clicking opens a larger, keyboard-accessible dialog with playback controls; Close or Escape stops playback and returns focus to the tile. Videos never autoplay in the gallery. Saved videos are MP4 or WebM and remain limited to 20 MB per file. Video cards retain titles, dates, descriptions, captions, credits, and visibility controls.</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are bold; NIV reading links are descriptive and underlined.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Revision history</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