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4.13</w:t>
      </w:r>
      <w:r>
        <w:rPr>
          <w:rFonts w:ascii="Segoe UI" w:hAnsi="Segoe UI"/>
          <w:color w:val="D99B42"/>
          <w:sz w:val="20"/>
        </w:rPr>
        <w:t xml:space="preserve">  •  </w:t>
      </w:r>
      <w:r>
        <w:rPr>
          <w:rFonts w:ascii="Segoe UI" w:hAnsi="Segoe UI"/>
          <w:color w:val="60726B"/>
          <w:sz w:val="20"/>
        </w:rPr>
        <w:t>Last reviewed September 24,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0" w:line="240" w:lineRule="auto"/>
        <w:ind w:left="540" w:hanging="271"/>
      </w:pPr>
      <w:r>
        <w:rPr>
          <w:rFonts w:ascii="Segoe UI" w:hAnsi="Segoe UI"/>
          <w:color w:val="19322B"/>
          <w:sz w:val="21"/>
        </w:rPr>
        <w:t>Private user guide and portal footer</w:t>
      </w:r>
    </w:p>
    <w:p>
      <w:pPr>
        <w:numPr>
          <w:ilvl w:val="0"/>
          <w:numId w:val="13"/>
        </w:numPr>
        <w:spacing w:before="0" w:after="0" w:line="240" w:lineRule="auto"/>
        <w:ind w:left="540" w:hanging="271"/>
      </w:pPr>
      <w:r>
        <w:rPr>
          <w:rFonts w:ascii="Segoe UI" w:hAnsi="Segoe UI"/>
          <w:color w:val="19322B"/>
          <w:sz w:val="21"/>
        </w:rPr>
        <w:t>Contact giving history</w:t>
      </w:r>
    </w:p>
    <w:p>
      <w:pPr>
        <w:numPr>
          <w:ilvl w:val="0"/>
          <w:numId w:val="13"/>
        </w:numPr>
        <w:spacing w:before="0" w:after="0" w:line="240" w:lineRule="auto"/>
        <w:ind w:left="540" w:hanging="271"/>
      </w:pPr>
      <w:r>
        <w:rPr>
          <w:rFonts w:ascii="Segoe UI" w:hAnsi="Segoe UI"/>
          <w:color w:val="19322B"/>
          <w:sz w:val="21"/>
        </w:rPr>
        <w:t>Planning workspace and interested submission review</w:t>
      </w:r>
    </w:p>
    <w:p>
      <w:pPr>
        <w:numPr>
          <w:ilvl w:val="0"/>
          <w:numId w:val="13"/>
        </w:numPr>
        <w:spacing w:before="0" w:after="0" w:line="240" w:lineRule="auto"/>
        <w:ind w:left="540" w:hanging="271"/>
      </w:pPr>
      <w:r>
        <w:rPr>
          <w:rFonts w:ascii="Segoe UI" w:hAnsi="Segoe UI"/>
          <w:color w:val="19322B"/>
          <w:sz w:val="21"/>
        </w:rPr>
        <w:t>Trip photos and past trip stories</w:t>
      </w:r>
    </w:p>
    <w:p>
      <w:pPr>
        <w:numPr>
          <w:ilvl w:val="0"/>
          <w:numId w:val="13"/>
        </w:numPr>
        <w:spacing w:before="0" w:after="0" w:line="240" w:lineRule="auto"/>
        <w:ind w:left="540" w:hanging="271"/>
      </w:pPr>
      <w:r>
        <w:rPr>
          <w:rFonts w:ascii="Segoe UI" w:hAnsi="Segoe UI"/>
          <w:color w:val="19322B"/>
          <w:sz w:val="21"/>
        </w:rPr>
        <w:t>Shared MMT navigation</w:t>
      </w:r>
    </w:p>
    <w:p>
      <w:pPr>
        <w:numPr>
          <w:ilvl w:val="0"/>
          <w:numId w:val="13"/>
        </w:numPr>
        <w:spacing w:before="0" w:after="0" w:line="240" w:lineRule="auto"/>
        <w:ind w:left="540" w:hanging="271"/>
      </w:pPr>
      <w:r>
        <w:rPr>
          <w:rFonts w:ascii="Segoe UI" w:hAnsi="Segoe UI"/>
          <w:color w:val="19322B"/>
          <w:sz w:val="21"/>
        </w:rPr>
        <w:t>Devotional library</w:t>
      </w:r>
    </w:p>
    <w:p>
      <w:pPr>
        <w:numPr>
          <w:ilvl w:val="0"/>
          <w:numId w:val="13"/>
        </w:numPr>
        <w:spacing w:before="0" w:after="0" w:line="240" w:lineRule="auto"/>
        <w:ind w:left="540" w:hanging="271"/>
      </w:pPr>
      <w:r>
        <w:rPr>
          <w:rFonts w:ascii="Segoe UI" w:hAnsi="Segoe UI"/>
          <w:color w:val="19322B"/>
          <w:sz w:val="21"/>
        </w:rPr>
        <w:t>Collapsible devotional days</w:t>
      </w:r>
    </w:p>
    <w:p>
      <w:pPr>
        <w:numPr>
          <w:ilvl w:val="0"/>
          <w:numId w:val="13"/>
        </w:numPr>
        <w:spacing w:before="0" w:after="0" w:line="240" w:lineRule="auto"/>
        <w:ind w:left="540" w:hanging="271"/>
      </w:pPr>
      <w:r>
        <w:rPr>
          <w:rFonts w:ascii="Segoe UI" w:hAnsi="Segoe UI"/>
          <w:color w:val="19322B"/>
          <w:sz w:val="21"/>
        </w:rPr>
        <w:t>Traveler study typography</w:t>
      </w:r>
    </w:p>
    <w:p>
      <w:pPr>
        <w:numPr>
          <w:ilvl w:val="0"/>
          <w:numId w:val="13"/>
        </w:numPr>
        <w:spacing w:before="0" w:after="0" w:line="240" w:lineRule="auto"/>
        <w:ind w:left="540" w:hanging="271"/>
      </w:pPr>
      <w:r>
        <w:rPr>
          <w:rFonts w:ascii="Segoe UI" w:hAnsi="Segoe UI"/>
          <w:color w:val="19322B"/>
          <w:sz w:val="21"/>
        </w:rPr>
        <w:t>Dated trip preview layout</w:t>
      </w:r>
    </w:p>
    <w:p>
      <w:pPr>
        <w:numPr>
          <w:ilvl w:val="0"/>
          <w:numId w:val="13"/>
        </w:numPr>
        <w:spacing w:before="0" w:after="0" w:line="240" w:lineRule="auto"/>
        <w:ind w:left="540" w:hanging="271"/>
      </w:pPr>
      <w:r>
        <w:rPr>
          <w:rFonts w:ascii="Segoe UI" w:hAnsi="Segoe UI"/>
          <w:color w:val="19322B"/>
          <w:sz w:val="21"/>
        </w:rPr>
        <w:t>Current shared trip password</w:t>
      </w:r>
    </w:p>
    <w:p>
      <w:pPr>
        <w:numPr>
          <w:ilvl w:val="0"/>
          <w:numId w:val="13"/>
        </w:numPr>
        <w:spacing w:before="0" w:after="0" w:line="240" w:lineRule="auto"/>
        <w:ind w:left="540" w:hanging="271"/>
      </w:pPr>
      <w:r>
        <w:rPr>
          <w:rFonts w:ascii="Segoe UI" w:hAnsi="Segoe UI"/>
          <w:color w:val="19322B"/>
          <w:sz w:val="21"/>
        </w:rPr>
        <w:t>Inbox completion and trash</w:t>
      </w:r>
    </w:p>
    <w:p>
      <w:pPr>
        <w:numPr>
          <w:ilvl w:val="0"/>
          <w:numId w:val="13"/>
        </w:numPr>
        <w:spacing w:before="0" w:after="0" w:line="240" w:lineRule="auto"/>
        <w:ind w:left="540" w:hanging="271"/>
      </w:pPr>
      <w:r>
        <w:rPr>
          <w:rFonts w:ascii="Segoe UI" w:hAnsi="Segoe UI"/>
          <w:color w:val="19322B"/>
          <w:sz w:val="21"/>
        </w:rPr>
        <w:t>Contact directory and spreadsheet</w:t>
      </w:r>
    </w:p>
    <w:p>
      <w:pPr>
        <w:numPr>
          <w:ilvl w:val="0"/>
          <w:numId w:val="13"/>
        </w:numPr>
        <w:spacing w:before="0" w:after="0" w:line="240" w:lineRule="auto"/>
        <w:ind w:left="540" w:hanging="271"/>
      </w:pPr>
      <w:r>
        <w:rPr>
          <w:rFonts w:ascii="Segoe UI" w:hAnsi="Segoe UI"/>
          <w:color w:val="19322B"/>
          <w:sz w:val="21"/>
        </w:rPr>
        <w:t>Trip budget comparison and bulk editing</w:t>
      </w:r>
    </w:p>
    <w:p>
      <w:pPr>
        <w:numPr>
          <w:ilvl w:val="0"/>
          <w:numId w:val="13"/>
        </w:numPr>
        <w:spacing w:before="0" w:after="0" w:line="240" w:lineRule="auto"/>
        <w:ind w:left="540" w:hanging="271"/>
      </w:pPr>
      <w:r>
        <w:rPr>
          <w:rFonts w:ascii="Segoe UI" w:hAnsi="Segoe UI"/>
          <w:color w:val="19322B"/>
          <w:sz w:val="21"/>
        </w:rPr>
        <w:t>Shared portal account management</w:t>
      </w:r>
    </w:p>
    <w:p>
      <w:pPr>
        <w:numPr>
          <w:ilvl w:val="0"/>
          <w:numId w:val="13"/>
        </w:numPr>
        <w:spacing w:before="0" w:after="0" w:line="240" w:lineRule="auto"/>
        <w:ind w:left="540" w:hanging="271"/>
      </w:pPr>
      <w:r>
        <w:rPr>
          <w:rFonts w:ascii="Segoe UI" w:hAnsi="Segoe UI"/>
          <w:color w:val="19322B"/>
          <w:sz w:val="21"/>
        </w:rPr>
        <w:t>Donation split editor</w:t>
      </w:r>
    </w:p>
    <w:p>
      <w:pPr>
        <w:numPr>
          <w:ilvl w:val="0"/>
          <w:numId w:val="13"/>
        </w:numPr>
        <w:spacing w:before="0" w:after="0" w:line="240" w:lineRule="auto"/>
        <w:ind w:left="540" w:hanging="271"/>
      </w:pPr>
      <w:r>
        <w:rPr>
          <w:rFonts w:ascii="Segoe UI" w:hAnsi="Segoe UI"/>
          <w:color w:val="19322B"/>
          <w:sz w:val="21"/>
        </w:rPr>
        <w:t>MMT account and access screens</w:t>
      </w:r>
    </w:p>
    <w:p>
      <w:pPr>
        <w:numPr>
          <w:ilvl w:val="0"/>
          <w:numId w:val="13"/>
        </w:numPr>
        <w:spacing w:before="0" w:after="0" w:line="240" w:lineRule="auto"/>
        <w:ind w:left="540" w:hanging="271"/>
      </w:pPr>
      <w:r>
        <w:rPr>
          <w:rFonts w:ascii="Segoe UI" w:hAnsi="Segoe UI"/>
          <w:color w:val="19322B"/>
          <w:sz w:val="21"/>
        </w:rPr>
        <w:t>Destination management patterns</w:t>
      </w:r>
    </w:p>
    <w:p>
      <w:pPr>
        <w:numPr>
          <w:ilvl w:val="0"/>
          <w:numId w:val="13"/>
        </w:numPr>
        <w:spacing w:before="0" w:after="0" w:line="240" w:lineRule="auto"/>
        <w:ind w:left="540" w:hanging="271"/>
      </w:pPr>
      <w:r>
        <w:rPr>
          <w:rFonts w:ascii="Segoe UI" w:hAnsi="Segoe UI"/>
          <w:color w:val="19322B"/>
          <w:sz w:val="21"/>
        </w:rPr>
        <w:t>Purpose</w:t>
      </w:r>
    </w:p>
    <w:p>
      <w:pPr>
        <w:numPr>
          <w:ilvl w:val="0"/>
          <w:numId w:val="13"/>
        </w:numPr>
        <w:spacing w:before="0" w:after="0" w:line="240" w:lineRule="auto"/>
        <w:ind w:left="540" w:hanging="271"/>
      </w:pPr>
      <w:r>
        <w:rPr>
          <w:rFonts w:ascii="Segoe UI" w:hAnsi="Segoe UI"/>
          <w:color w:val="19322B"/>
          <w:sz w:val="21"/>
        </w:rPr>
        <w:t>Canonical design sources</w:t>
      </w:r>
    </w:p>
    <w:p>
      <w:pPr>
        <w:numPr>
          <w:ilvl w:val="0"/>
          <w:numId w:val="13"/>
        </w:numPr>
        <w:spacing w:before="0" w:after="0" w:line="240" w:lineRule="auto"/>
        <w:ind w:left="540" w:hanging="271"/>
      </w:pPr>
      <w:r>
        <w:rPr>
          <w:rFonts w:ascii="Segoe UI" w:hAnsi="Segoe UI"/>
          <w:color w:val="19322B"/>
          <w:sz w:val="21"/>
        </w:rPr>
        <w:t>Brand foundation</w:t>
      </w:r>
    </w:p>
    <w:p>
      <w:pPr>
        <w:numPr>
          <w:ilvl w:val="0"/>
          <w:numId w:val="13"/>
        </w:numPr>
        <w:spacing w:before="0" w:after="0" w:line="240" w:lineRule="auto"/>
        <w:ind w:left="540" w:hanging="271"/>
      </w:pPr>
      <w:r>
        <w:rPr>
          <w:rFonts w:ascii="Segoe UI" w:hAnsi="Segoe UI"/>
          <w:color w:val="19322B"/>
          <w:sz w:val="21"/>
        </w:rPr>
        <w:t>Logo system</w:t>
      </w:r>
    </w:p>
    <w:p>
      <w:pPr>
        <w:numPr>
          <w:ilvl w:val="0"/>
          <w:numId w:val="13"/>
        </w:numPr>
        <w:spacing w:before="0" w:after="0" w:line="240" w:lineRule="auto"/>
        <w:ind w:left="540" w:hanging="271"/>
      </w:pPr>
      <w:r>
        <w:rPr>
          <w:rFonts w:ascii="Segoe UI" w:hAnsi="Segoe UI"/>
          <w:color w:val="19322B"/>
          <w:sz w:val="21"/>
        </w:rPr>
        <w:t>Color system</w:t>
      </w:r>
    </w:p>
    <w:p>
      <w:pPr>
        <w:numPr>
          <w:ilvl w:val="0"/>
          <w:numId w:val="13"/>
        </w:numPr>
        <w:spacing w:before="0" w:after="0" w:line="240" w:lineRule="auto"/>
        <w:ind w:left="540" w:hanging="271"/>
      </w:pPr>
      <w:r>
        <w:rPr>
          <w:rFonts w:ascii="Segoe UI" w:hAnsi="Segoe UI"/>
          <w:color w:val="19322B"/>
          <w:sz w:val="21"/>
        </w:rPr>
        <w:t>Typography</w:t>
      </w:r>
    </w:p>
    <w:p>
      <w:pPr>
        <w:numPr>
          <w:ilvl w:val="0"/>
          <w:numId w:val="13"/>
        </w:numPr>
        <w:spacing w:before="0" w:after="0" w:line="240" w:lineRule="auto"/>
        <w:ind w:left="540" w:hanging="271"/>
      </w:pPr>
      <w:r>
        <w:rPr>
          <w:rFonts w:ascii="Segoe UI" w:hAnsi="Segoe UI"/>
          <w:color w:val="19322B"/>
          <w:sz w:val="21"/>
        </w:rPr>
        <w:t>Layout and spacing</w:t>
      </w:r>
    </w:p>
    <w:p>
      <w:pPr>
        <w:numPr>
          <w:ilvl w:val="0"/>
          <w:numId w:val="13"/>
        </w:numPr>
        <w:spacing w:before="0" w:after="0" w:line="240" w:lineRule="auto"/>
        <w:ind w:left="540" w:hanging="271"/>
      </w:pPr>
      <w:r>
        <w:rPr>
          <w:rFonts w:ascii="Segoe UI" w:hAnsi="Segoe UI"/>
          <w:color w:val="19322B"/>
          <w:sz w:val="21"/>
        </w:rPr>
        <w:t>Core components</w:t>
      </w:r>
    </w:p>
    <w:p>
      <w:pPr>
        <w:numPr>
          <w:ilvl w:val="0"/>
          <w:numId w:val="13"/>
        </w:numPr>
        <w:spacing w:before="0" w:after="0" w:line="240" w:lineRule="auto"/>
        <w:ind w:left="540" w:hanging="271"/>
      </w:pPr>
      <w:r>
        <w:rPr>
          <w:rFonts w:ascii="Segoe UI" w:hAnsi="Segoe UI"/>
          <w:color w:val="19322B"/>
          <w:sz w:val="21"/>
        </w:rPr>
        <w:t>Photography and media</w:t>
      </w:r>
    </w:p>
    <w:p>
      <w:pPr>
        <w:numPr>
          <w:ilvl w:val="0"/>
          <w:numId w:val="13"/>
        </w:numPr>
        <w:spacing w:before="0" w:after="0" w:line="240" w:lineRule="auto"/>
        <w:ind w:left="540" w:hanging="271"/>
      </w:pPr>
      <w:r>
        <w:rPr>
          <w:rFonts w:ascii="Segoe UI" w:hAnsi="Segoe UI"/>
          <w:color w:val="19322B"/>
          <w:sz w:val="21"/>
        </w:rPr>
        <w:t>Voice and content standards</w:t>
      </w:r>
    </w:p>
    <w:p>
      <w:pPr>
        <w:numPr>
          <w:ilvl w:val="0"/>
          <w:numId w:val="13"/>
        </w:numPr>
        <w:spacing w:before="0" w:after="0" w:line="240" w:lineRule="auto"/>
        <w:ind w:left="540" w:hanging="271"/>
      </w:pPr>
      <w:r>
        <w:rPr>
          <w:rFonts w:ascii="Segoe UI" w:hAnsi="Segoe UI"/>
          <w:color w:val="19322B"/>
          <w:sz w:val="21"/>
        </w:rPr>
        <w:t>Accessibility standards</w:t>
      </w:r>
    </w:p>
    <w:p>
      <w:pPr>
        <w:numPr>
          <w:ilvl w:val="0"/>
          <w:numId w:val="13"/>
        </w:numPr>
        <w:spacing w:before="0" w:after="0" w:line="240" w:lineRule="auto"/>
        <w:ind w:left="540" w:hanging="271"/>
      </w:pPr>
      <w:r>
        <w:rPr>
          <w:rFonts w:ascii="Segoe UI" w:hAnsi="Segoe UI"/>
          <w:color w:val="19322B"/>
          <w:sz w:val="21"/>
        </w:rPr>
        <w:t>Motion standards</w:t>
      </w:r>
    </w:p>
    <w:p>
      <w:pPr>
        <w:numPr>
          <w:ilvl w:val="0"/>
          <w:numId w:val="13"/>
        </w:numPr>
        <w:spacing w:before="0" w:after="0" w:line="240" w:lineRule="auto"/>
        <w:ind w:left="540" w:hanging="271"/>
      </w:pPr>
      <w:r>
        <w:rPr>
          <w:rFonts w:ascii="Segoe UI" w:hAnsi="Segoe UI"/>
          <w:color w:val="19322B"/>
          <w:sz w:val="21"/>
        </w:rPr>
        <w:t>New page checklist</w:t>
      </w:r>
    </w:p>
    <w:p>
      <w:pPr>
        <w:numPr>
          <w:ilvl w:val="0"/>
          <w:numId w:val="13"/>
        </w:numPr>
        <w:spacing w:before="0" w:after="0" w:line="240" w:lineRule="auto"/>
        <w:ind w:left="540" w:hanging="271"/>
      </w:pPr>
      <w:r>
        <w:rPr>
          <w:rFonts w:ascii="Segoe UI" w:hAnsi="Segoe UI"/>
          <w:color w:val="19322B"/>
          <w:sz w:val="21"/>
        </w:rPr>
        <w:t>Governance</w:t>
      </w:r>
    </w:p>
    <w:p>
      <w:pPr>
        <w:numPr>
          <w:ilvl w:val="0"/>
          <w:numId w:val="13"/>
        </w:numPr>
        <w:spacing w:before="0" w:after="0" w:line="240" w:lineRule="auto"/>
        <w:ind w:left="540" w:hanging="271"/>
      </w:pPr>
      <w:r>
        <w:rPr>
          <w:rFonts w:ascii="Segoe UI" w:hAnsi="Segoe UI"/>
          <w:color w:val="19322B"/>
          <w:sz w:val="21"/>
        </w:rPr>
        <w:t>Ministry Management interface</w:t>
      </w:r>
    </w:p>
    <w:p>
      <w:pPr>
        <w:numPr>
          <w:ilvl w:val="0"/>
          <w:numId w:val="13"/>
        </w:numPr>
        <w:spacing w:before="0" w:after="0" w:line="240" w:lineRule="auto"/>
        <w:ind w:left="540" w:hanging="271"/>
      </w:pPr>
      <w:r>
        <w:rPr>
          <w:rFonts w:ascii="Segoe UI" w:hAnsi="Segoe UI"/>
          <w:color w:val="19322B"/>
          <w:sz w:val="21"/>
        </w:rPr>
        <w:t>Expanded bookkeeping screens</w:t>
      </w:r>
    </w:p>
    <w:p>
      <w:pPr>
        <w:numPr>
          <w:ilvl w:val="0"/>
          <w:numId w:val="13"/>
        </w:numPr>
        <w:spacing w:before="0" w:after="0" w:line="240" w:lineRule="auto"/>
        <w:ind w:left="540" w:hanging="271"/>
      </w:pPr>
      <w:r>
        <w:rPr>
          <w:rFonts w:ascii="Segoe UI" w:hAnsi="Segoe UI"/>
          <w:color w:val="19322B"/>
          <w:sz w:val="21"/>
        </w:rPr>
        <w:t>User deletion</w:t>
      </w:r>
    </w:p>
    <w:p>
      <w:pPr>
        <w:numPr>
          <w:ilvl w:val="0"/>
          <w:numId w:val="13"/>
        </w:numPr>
        <w:spacing w:before="0" w:after="0" w:line="240" w:lineRule="auto"/>
        <w:ind w:left="540" w:hanging="271"/>
      </w:pPr>
      <w:r>
        <w:rPr>
          <w:rFonts w:ascii="Segoe UI" w:hAnsi="Segoe UI"/>
          <w:color w:val="19322B"/>
          <w:sz w:val="21"/>
        </w:rPr>
        <w:t>Personally received gift presentation</w:t>
      </w:r>
    </w:p>
    <w:p>
      <w:pPr>
        <w:numPr>
          <w:ilvl w:val="0"/>
          <w:numId w:val="13"/>
        </w:numPr>
        <w:spacing w:before="0" w:after="0" w:line="240" w:lineRule="auto"/>
        <w:ind w:left="540" w:hanging="271"/>
      </w:pPr>
      <w:r>
        <w:rPr>
          <w:rFonts w:ascii="Segoe UI" w:hAnsi="Segoe UI"/>
          <w:color w:val="19322B"/>
          <w:sz w:val="21"/>
        </w:rPr>
        <w:t>Gift thank-you email acknowledgments</w:t>
      </w:r>
    </w:p>
    <w:p>
      <w:pPr>
        <w:numPr>
          <w:ilvl w:val="0"/>
          <w:numId w:val="13"/>
        </w:numPr>
        <w:spacing w:before="0" w:after="0" w:line="240" w:lineRule="auto"/>
        <w:ind w:left="540" w:hanging="271"/>
      </w:pPr>
      <w:r>
        <w:rPr>
          <w:rFonts w:ascii="Segoe UI" w:hAnsi="Segoe UI"/>
          <w:color w:val="19322B"/>
          <w:sz w:val="21"/>
        </w:rPr>
        <w:t>Revision history</w:t>
      </w:r>
    </w:p>
    <w:p>
      <w:pPr>
        <w:pStyle w:val="Heading1"/>
        <w:pageBreakBefore/>
      </w:pPr>
      <w:r>
        <w:rPr>
          <w:rFonts w:ascii="Georgia" w:hAnsi="Georgia"/>
          <w:b/>
          <w:color w:val="173F35"/>
          <w:sz w:val="32"/>
        </w:rPr>
        <w:t>Private user guide and portal footer</w:t>
      </w:r>
    </w:p>
    <w:p>
      <w:r>
        <w:rPr>
          <w:rFonts w:ascii="Segoe UI" w:hAnsi="Segoe UI"/>
          <w:color w:val="19322B"/>
          <w:sz w:val="22"/>
        </w:rPr>
        <w:t xml:space="preserve">Show one underlined MMT user guide link in the footer of every authenticated portal workspace. Align it with the content beside the shared sidebar on desktop and within the page width on phones. Do not display the link on the sign-in screen or during mandatory password setup. The guide itself is a read-only, responsive reading page: use a narrow text measure, distinct section headings, visible table-of-contents and index links, and a simple return-to-portal link. Draw its colors from the shared </w:t>
      </w:r>
      <w:r>
        <w:rPr>
          <w:rFonts w:ascii="Consolas" w:hAnsi="Consolas"/>
          <w:color w:val="173F35"/>
          <w:sz w:val="20"/>
          <w:shd w:fill="EDF5F1"/>
        </w:rPr>
        <w:t>styles.css</w:t>
      </w:r>
      <w:r>
        <w:rPr>
          <w:rFonts w:ascii="Segoe UI" w:hAnsi="Segoe UI"/>
          <w:color w:val="19322B"/>
          <w:sz w:val="22"/>
        </w:rPr>
        <w:t xml:space="preserve"> palette. Do not add editing controls, public navigation links, or guide content to a static public page.</w:t>
      </w:r>
    </w:p>
    <w:p>
      <w:pPr>
        <w:pStyle w:val="Heading1"/>
      </w:pPr>
      <w:r>
        <w:rPr>
          <w:rFonts w:ascii="Georgia" w:hAnsi="Georgia"/>
          <w:b/>
          <w:color w:val="173F35"/>
          <w:sz w:val="32"/>
        </w:rPr>
        <w:t>Contact giving history</w:t>
      </w:r>
    </w:p>
    <w:p>
      <w:r>
        <w:rPr>
          <w:rFonts w:ascii="Segoe UI" w:hAnsi="Segoe UI"/>
          <w:color w:val="19322B"/>
          <w:sz w:val="22"/>
        </w:rPr>
        <w:t>The complete contact record includes a full-width Giving · Past two years card after the profile and ministry relationships. Reuse the existing detail cards, summary list, and responsive table styles. Show the exact date range, total giving, gift count, and gifts newest first with date, amount, payment method, purpose or trip, and notes. On phones, retain the table's field labels. Explain that amounts are before processing fees and donor splits include only the contact's share. Hide the entire card when no gifts fall within the displayed two-year period. Hide the section when the viewer lacks finance access. The giving card was released September 23, 2026; build 2026-09-23.4 includes the empty-card visibility correction.</w:t>
      </w:r>
    </w:p>
    <w:p>
      <w:pPr>
        <w:pStyle w:val="Heading1"/>
      </w:pPr>
      <w:r>
        <w:rPr>
          <w:rFonts w:ascii="Georgia" w:hAnsi="Georgia"/>
          <w:b/>
          <w:color w:val="173F35"/>
          <w:sz w:val="32"/>
        </w:rPr>
        <w:t>Planning workspace and interested submission review</w:t>
      </w:r>
    </w:p>
    <w:p>
      <w:r>
        <w:rPr>
          <w:rFonts w:ascii="Segoe UI" w:hAnsi="Segoe UI"/>
          <w:color w:val="19322B"/>
          <w:sz w:val="22"/>
        </w:rPr>
        <w:t>Version 4.9 is a portal refinement for the isolated test site using the existing forest, gold, and neutral palette. Public website appearance is unchanged. Trips has one primary entry point; legacy overview links open that workspace. Keep task controls and actions consistent with the existing rounded buttons, visible focus rings, and labeled form fields.</w:t>
      </w:r>
    </w:p>
    <w:p>
      <w:r>
        <w:rPr>
          <w:rFonts w:ascii="Segoe UI" w:hAnsi="Segoe UI"/>
          <w:color w:val="19322B"/>
          <w:sz w:val="22"/>
        </w:rPr>
        <w:t>The trip header is compact while a trip is open. Setup help is collapsed by default. Six work areas organize the existing tools: Overview, Prepare, Money, Travelers, Public pages, and Setup. The second row shows only tools belonging to the selected area. On phones, use the workspace selector instead of duplicate navigation rows. Keep every tool available through its group or the phone selector.</w:t>
      </w:r>
    </w:p>
    <w:p>
      <w:r>
        <w:rPr>
          <w:rFonts w:ascii="Segoe UI" w:hAnsi="Segoe UI"/>
          <w:color w:val="19322B"/>
          <w:sz w:val="22"/>
        </w:rPr>
        <w:t>The day planner groups dated content into expandable days, shows missing itinerary/devotional assignments, and puts other dates and undated material in a separate group. Content previews collapse independently. Home highlights upcoming departures, preparation reviews, tasks, and recently opened trips. Readiness labels distinguish Not reviewed, Needs review, Reviewed, and Not applicable; never present mere record existence as a completed review.</w:t>
      </w:r>
    </w:p>
    <w:p>
      <w:r>
        <w:rPr>
          <w:rFonts w:ascii="Segoe UI" w:hAnsi="Segoe UI"/>
          <w:color w:val="19322B"/>
          <w:sz w:val="22"/>
        </w:rPr>
        <w:t>Task forms include an owner, due or next-contact date, optional trip/contact links, and status. Contact follow-up uses the same task workflow. Readiness confirmation and template creation use focused dialogs with unsaved-change confirmation. Traveler packets provide a plain readable offline document with print styles, visible preparation date, and a notice that downloaded copies do not refresh.</w:t>
      </w:r>
    </w:p>
    <w:p>
      <w:r>
        <w:rPr>
          <w:rFonts w:ascii="Segoe UI" w:hAnsi="Segoe UI"/>
          <w:color w:val="19322B"/>
          <w:sz w:val="22"/>
        </w:rPr>
        <w:t>Duplicate review presents submitted information alongside every matching contact. State the match reason explicitly as Email, Phone, or Email and phone. Do not preselect an existing contact or any replacement fields. Show current and submitted values beside each field checkbox. Use the exact action meanings Add as a new contact, Update an existing contact, and Reject. Disable decision buttons while saving, show conflicts clearly, and retain the resolved review history. Public submission confirmation acknowledges receipt without revealing whether any contact matched.</w:t>
      </w:r>
    </w:p>
    <w:p>
      <w:pPr>
        <w:pStyle w:val="Heading1"/>
      </w:pPr>
      <w:r>
        <w:rPr>
          <w:rFonts w:ascii="Georgia" w:hAnsi="Georgia"/>
          <w:b/>
          <w:color w:val="173F35"/>
          <w:sz w:val="32"/>
        </w:rPr>
        <w:t>Trip photos and past trip stories</w:t>
      </w:r>
    </w:p>
    <w:p>
      <w:r>
        <w:rPr>
          <w:rFonts w:ascii="Segoe UI" w:hAnsi="Segoe UI"/>
          <w:color w:val="19322B"/>
          <w:sz w:val="22"/>
        </w:rPr>
        <w:t>Photos &amp; memories adds responsive photo cards and dated journal notes to each trip. Administrators can upload several photos, add captions and credits, edit image descriptions, and select traveler visibility. Use descriptive alternative text that communicates the scene. The collection separates adding new material from editing saved items and includes a removed-items view with Restore controls.</w:t>
      </w:r>
    </w:p>
    <w:p>
      <w:r>
        <w:rPr>
          <w:rFonts w:ascii="Segoe UI" w:hAnsi="Segoe UI"/>
          <w:color w:val="19322B"/>
          <w:sz w:val="22"/>
        </w:rPr>
        <w:t>Past-trip story uses a destination selector, public title, short summary, narrative, and explicit checkboxes for the material to publish. Save and preview opens a modal showing the exact public version. Publishing remains unavailable until the trip has ended and is marked Completed. The live version stays unchanged while a new draft is prepared; Unpublish story removes it from public access.</w:t>
      </w:r>
    </w:p>
    <w:p>
      <w:r>
        <w:rPr>
          <w:rFonts w:ascii="Segoe UI" w:hAnsi="Segoe UI"/>
          <w:color w:val="19322B"/>
          <w:sz w:val="22"/>
        </w:rPr>
        <w:t>Traveler and public displays share journey/memories.css and memories-view.js. Galleries adapt to available width, include captions and dates, and open the full image in a new tab. Longer devotional resources use native expandable sections. Text uses the existing safe content formatter. Forms, cards, previews, and disclosure controls use existing palette tokens, visible labels, keyboard-accessible controls, and readable spacing. Keep the established public homepage and destination design; add past-trip stories within the existing destination layout.</w:t>
      </w:r>
    </w:p>
    <w:p>
      <w:r>
        <w:rPr>
          <w:rFonts w:ascii="Segoe UI" w:hAnsi="Segoe UI"/>
          <w:color w:val="19322B"/>
          <w:sz w:val="22"/>
        </w:rPr>
        <w:t>In Photos &amp; memories, Show removed items reveals Restore and, for administrators, Delete permanently. Keep the removed view selected after an action so the user can see the result. Permanent deletion asks for confirmation naming the item and explains that its record and stored media cannot be restored. Items still used in a story show instructions to remove them from the preview and update or unpublish the public version first. An interrupted deletion shows a pending message and a retry control; hide the image and Restore control while its file is being deleted.</w:t>
      </w:r>
    </w:p>
    <w:p>
      <w:r>
        <w:rPr>
          <w:rFonts w:ascii="Segoe UI" w:hAnsi="Segoe UI"/>
          <w:color w:val="19322B"/>
          <w:sz w:val="22"/>
        </w:rPr>
        <w:t>Traveler photo galleries use two equal-width tiles per row above 600 pixels and one tile per row on smaller phones. A single photo retains one tile width on wider screens. Photos run from oldest to newest using the assigned Date; undated photos appear last. Clicking or tapping a photo opens the full image in a new tab. Image links include an accessible full-size label.</w:t>
      </w:r>
    </w:p>
    <w:p>
      <w:r>
        <w:rPr>
          <w:rFonts w:ascii="Segoe UI" w:hAnsi="Segoe UI"/>
          <w:color w:val="19322B"/>
          <w:sz w:val="22"/>
        </w:rPr>
        <w:t>Photos and videos share the traveler gallery and are sorted together by assigned date. Video tiles show a preview frame when supported and a clearly labeled Play video button. Clicking opens a larger, keyboard-accessible dialog with playback controls; Close or Escape stops playback and returns focus to the tile. Videos never autoplay in the gallery. Saved videos are MP4 or WebM and remain limited to 20 MB per file. Video cards retain titles, dates, descriptions, captions, credits, and visibility controls.</w:t>
      </w:r>
    </w:p>
    <w:p>
      <w:r>
        <w:rPr>
          <w:rFonts w:ascii="Segoe UI" w:hAnsi="Segoe UI"/>
          <w:color w:val="19322B"/>
          <w:sz w:val="22"/>
        </w:rPr>
        <w:t>Optimize uploads for faster viewing is checked by default. The browser prepares smaller photos and videos before upload; original files on the device are unchanged. Show file-by-file preparation progress, a Cancel preparation control, and the original and stored sizes with the percentage saved. Keep the smaller original when conversion would enlarge it. Accept original photos up to 50 MB and video clips up to 250 MB and five minutes; saved photos remain limited to 6 MB and videos to 20 MB. Explain unsupported formats with a useful retry instruction. Users may turn optimization off for files already within the saved-file limits. Refresh the collection after partial success so retries do not create duplicates.</w:t>
      </w:r>
    </w:p>
    <w:p>
      <w:pPr>
        <w:pStyle w:val="Heading1"/>
      </w:pPr>
      <w:r>
        <w:rPr>
          <w:rFonts w:ascii="Georgia" w:hAnsi="Georgia"/>
          <w:b/>
          <w:color w:val="173F35"/>
          <w:sz w:val="32"/>
        </w:rPr>
        <w:t>Shared MMT navigation</w:t>
      </w:r>
    </w:p>
    <w:p>
      <w:r>
        <w:rPr>
          <w:rFonts w:ascii="Segoe UI" w:hAnsi="Segoe UI"/>
          <w:color w:val="19322B"/>
          <w:sz w:val="22"/>
        </w:rPr>
        <w:t>The MMT portal uses a single forest sidebar across Ministry Management, Trips, Finances, Destinations, Account, and the Response Center. The logo and Home link return to Ministry Management. Home, Inbox, and Documents precede four expandable groups: Trips and destinations, People and ministry, Finances, and Account and settings. Links retain the same names and order across workspaces, subject to the signed-in user’s permissions.</w:t>
      </w:r>
    </w:p>
    <w:p>
      <w:r>
        <w:rPr>
          <w:rFonts w:ascii="Segoe UI" w:hAnsi="Segoe UI"/>
          <w:color w:val="19322B"/>
          <w:sz w:val="22"/>
        </w:rPr>
        <w:t>The current group opens automatically when moving to another area; other groups collapse. Users may open additional groups manually. Native disclosure controls support keyboard interaction. The current page uses a gold accent and aria-current. The sidebar can be hidden, starts closed on phones, and scrolls independently when needed. Sign out stays at its foot. Use only shared palette tokens; shared sidebar typography and spacing must not inherit inconsistent page-specific styles.</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Use the existing forest, gold, paper, ink, and line palette. The library uses a native modal with a searchable list beside the master editor on desktop; stack these on narrow screens. Keep primary trip-copy controls above the master editor, explain copy independence, and label master-save actions explicitly. Use regular-weight readable text in the content editor, visible focus/selection states, and live result counts. Enforce hidden attributes so deleted-only controls and inactive panels do not appear accidentally.</w:t>
      </w:r>
    </w:p>
    <w:p>
      <w:pPr>
        <w:pStyle w:val="Heading1"/>
      </w:pPr>
      <w:r>
        <w:rPr>
          <w:rFonts w:ascii="Georgia" w:hAnsi="Georgia"/>
          <w:b/>
          <w:color w:val="173F35"/>
          <w:sz w:val="32"/>
        </w:rPr>
        <w:t>Collapsible devotional days</w:t>
      </w:r>
    </w:p>
    <w:p>
      <w:r>
        <w:rPr>
          <w:rFonts w:ascii="Segoe UI" w:hAnsi="Segoe UI"/>
          <w:color w:val="19322B"/>
          <w:sz w:val="22"/>
        </w:rPr>
        <w:t>Begin the devotional section with wrapping day-and-date links. Each dated group starts collapsed in a native details element. Its banner shows the trip day, full date, study title, Scripture references when supplied, and an Open study or Close study cue. Use forest-wash panels, existing text colors, visible keyboard focus, and generous touch targets. Selecting a day link opens and focuses its banner. Multiple studies on the same date share one banner. Keep unpublished days absent rather than renumbering the published days. This enhancement is deployed September 21, 2026.</w:t>
      </w:r>
    </w:p>
    <w:p>
      <w:pPr>
        <w:pStyle w:val="Heading1"/>
      </w:pPr>
      <w:r>
        <w:rPr>
          <w:rFonts w:ascii="Georgia" w:hAnsi="Georgia"/>
          <w:b/>
          <w:color w:val="173F35"/>
          <w:sz w:val="32"/>
        </w:rPr>
        <w:t>Traveler study typography</w:t>
      </w:r>
    </w:p>
    <w:p>
      <w:r>
        <w:rPr>
          <w:rFonts w:ascii="Segoe UI" w:hAnsi="Segoe UI"/>
          <w:color w:val="19322B"/>
          <w:sz w:val="22"/>
        </w:rPr>
        <w:t>Bible studies and devotionals in the traveler portal use a reading column limited to 70 characters, generous paragraph spacing, forest-green bold section headings, bulleted talking points, and numbered group questions. Scripture references are bold; NIV reading links are descriptive and underlined. Closing prayers use italics and the existing dark gold-ink token. Keep body copy at 17px on desktop and 16px on small phones, with a 1.8 line height. Underlining denotes links rather than decorative emphasis. Use semantic headings, lists, strong text, and emphasis so the organization remains clear without color.</w:t>
      </w:r>
    </w:p>
    <w:p>
      <w:r>
        <w:rPr>
          <w:rFonts w:ascii="Segoe UI" w:hAnsi="Segoe UI"/>
          <w:color w:val="19322B"/>
          <w:sz w:val="22"/>
        </w:rPr>
        <w:t>Apply this presentation when displaying devotional records, including Bible studies stored in that category. Existing drafts receive the same presentation when their owner publishes them. Formatting does not change publication status, visibility, or saved text. The typography update was deployed September 21, 2026.</w:t>
      </w:r>
    </w:p>
    <w:p>
      <w:pPr>
        <w:pStyle w:val="Heading1"/>
      </w:pPr>
      <w:r>
        <w:rPr>
          <w:rFonts w:ascii="Georgia" w:hAnsi="Georgia"/>
          <w:b/>
          <w:color w:val="173F35"/>
          <w:sz w:val="32"/>
        </w:rPr>
        <w:t>Dated trip preview layout</w:t>
      </w:r>
    </w:p>
    <w:p>
      <w:r>
        <w:rPr>
          <w:rFonts w:ascii="Segoe UI" w:hAnsi="Segoe UI"/>
          <w:color w:val="19322B"/>
          <w:sz w:val="22"/>
        </w:rPr>
        <w:t>Dated trip pages use bounded horizontal padding inside the shared 1240px page shell. Keep the hero heading at a maximum of 4.5rem, allow long titles and codes to wrap, and stack the summary and details card at 760px. Never calculate inner hero padding from unused viewport width.</w:t>
      </w:r>
    </w:p>
    <w:p>
      <w:pPr>
        <w:pStyle w:val="Heading1"/>
      </w:pPr>
      <w:r>
        <w:rPr>
          <w:rFonts w:ascii="Georgia" w:hAnsi="Georgia"/>
          <w:b/>
          <w:color w:val="173F35"/>
          <w:sz w:val="32"/>
        </w:rPr>
        <w:t>Current shared trip password</w:t>
      </w:r>
    </w:p>
    <w:p>
      <w:r>
        <w:rPr>
          <w:rFonts w:ascii="Segoe UI" w:hAnsi="Segoe UI"/>
          <w:color w:val="19322B"/>
          <w:sz w:val="22"/>
        </w:rPr>
        <w:t>Keep the credential card locked after saving, but label the password field Current shared password and show masked dots when a saved display copy is available. The field is read-only, so editors can use the existing eye button without unlocking or changing credentials. Keep the Show shared trip password and Hide shared trip password labels and aria-pressed state synchronized. Retrieve the value only on reveal and clear it when hidden, unlocked, reloaded, switched to another trip, or signed out.</w:t>
      </w:r>
    </w:p>
    <w:p>
      <w:r>
        <w:rPr>
          <w:rFonts w:ascii="Segoe UI" w:hAnsi="Segoe UI"/>
          <w:color w:val="19322B"/>
          <w:sz w:val="22"/>
        </w:rPr>
        <w:t>Unlock credentials still enables editing, clears the field, changes its label to New shared password, and exposes the save action. Saving revokes traveler sessions and returns the card to the masked, locked state. For older passwords, show a brief instruction to unlock and save the password again before reveal is available. Read-only users see a permission explanation and cannot reveal or modify the credential. Use the existing field, eye button, card, status, and palette styling.</w:t>
      </w:r>
    </w:p>
    <w:p>
      <w:pPr>
        <w:pStyle w:val="Heading1"/>
      </w:pPr>
      <w:r>
        <w:rPr>
          <w:rFonts w:ascii="Georgia" w:hAnsi="Georgia"/>
          <w:b/>
          <w:color w:val="173F35"/>
          <w:sz w:val="32"/>
        </w:rPr>
        <w:t>Inbox completion and trash</w:t>
      </w:r>
    </w:p>
    <w:p>
      <w:r>
        <w:rPr>
          <w:rFonts w:ascii="Segoe UI" w:hAnsi="Segoe UI"/>
          <w:color w:val="19322B"/>
          <w:sz w:val="22"/>
        </w:rPr>
        <w:t>Inbox cards offer Mark completed and Delete to users with inbox edit access. Manually completed notices offer Reopen; deleted notices offer Restore. The Show filter includes Needs action, Recent activity, Completed, and Trash. Completed and deleted items leave the home page attention count; Recent activity excludes Trash. Keep Open record available so users can review the original item.</w:t>
      </w:r>
    </w:p>
    <w:p>
      <w:r>
        <w:rPr>
          <w:rFonts w:ascii="Segoe UI" w:hAnsi="Segoe UI"/>
          <w:color w:val="19322B"/>
          <w:sz w:val="22"/>
        </w:rPr>
        <w:t>Explain that these actions organize the shared inbox without approving payments, finishing budgets, or changing source records. Confirm deletion with plain language about Trash and restoration. Show success or failure feedback and disable an action while it is saving. Source-completed notices do not offer Reopen unless they also have a manual completion override. Read-only users can browse permitted notices but do not see management buttons. Reuse existing card, button, label, and status styles.</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pPr>
        <w:pStyle w:val="Heading1"/>
      </w:pPr>
      <w:r>
        <w:rPr>
          <w:rFonts w:ascii="Georgia" w:hAnsi="Georgia"/>
          <w:b/>
          <w:color w:val="173F35"/>
          <w:sz w:val="32"/>
        </w:rPr>
        <w:t>Trip budget comparison and bulk editing</w:t>
      </w:r>
    </w:p>
    <w:p>
      <w:r>
        <w:rPr>
          <w:rFonts w:ascii="Segoe UI" w:hAnsi="Segoe UI"/>
          <w:color w:val="19322B"/>
          <w:sz w:val="22"/>
        </w:rPr>
        <w:t>Show estimated costs, actual costs, funding allocations, and remaining funding together in a labeled, horizontally scrollable table. Clearly distinguish unrecorded actual costs from a paid zero-cost item. Positive variance means over budget; excess allocations must say overallocated rather than appearing as a negative funding need.</w:t>
      </w:r>
    </w:p>
    <w:p>
      <w:r>
        <w:rPr>
          <w:rFonts w:ascii="Segoe UI" w:hAnsi="Segoe UI"/>
          <w:color w:val="19322B"/>
          <w:sz w:val="22"/>
        </w:rPr>
        <w:t>Use Fund the entire budget for a funding-source and amount-basis preview, and Edit multiple budget items for a scrollable grid with labeled inputs. Show Needs estimate or Estimate reviewed on both collapsed rows and expanded details. Keep estimate review separate from payment status. Require a review step before bulk saves; explain ledger effects and report partial completion without retrying silently. Reuse shared palette variables, native dialog focus handling, semantic table headers, and accessible per-item input labels.</w:t>
      </w:r>
    </w:p>
    <w:p>
      <w:pPr>
        <w:pStyle w:val="Heading1"/>
      </w:pPr>
      <w:r>
        <w:rPr>
          <w:rFonts w:ascii="Georgia" w:hAnsi="Georgia"/>
          <w:b/>
          <w:color w:val="173F35"/>
          <w:sz w:val="32"/>
        </w:rPr>
        <w:t>Shared portal account management</w:t>
      </w:r>
    </w:p>
    <w:p>
      <w:r>
        <w:rPr>
          <w:rFonts w:ascii="Segoe UI" w:hAnsi="Segoe UI"/>
          <w:color w:val="19322B"/>
          <w:sz w:val="22"/>
        </w:rPr>
        <w:t>Use Organization Administrator for shared identity and cross-portal authority, Portal Administrator for one portal, and Member for assigned section access. Both account pages show My shared profile, Change shared password, and Users &amp; access requests when authorized. The user list shows portal memberships, global status, and last logged in with the viewer's local time zone.</w:t>
      </w:r>
    </w:p>
    <w:p>
      <w:r>
        <w:rPr>
          <w:rFonts w:ascii="Segoe UI" w:hAnsi="Segoe UI"/>
          <w:color w:val="19322B"/>
          <w:sz w:val="22"/>
        </w:rPr>
        <w:t>Separate HS and CSM access into labeled fieldsets. Each has Allow access to this portal, Portal Administrator, and section-level Blocked, Read only, and Edit choices. Presets change only that portal's section choices. Only Organization Administrators see both fieldsets, shared status, shared profile editing for others, and the Organization Administrator checkbox. Explain that removing one membership leaves the other intact, while Suspended in both portals and Delete shared account affect both. Keep typed username confirmation for deletion. Linking an existing account requires independent identity verification and preserves the existing password.</w:t>
      </w:r>
    </w:p>
    <w:p>
      <w:r>
        <w:rPr>
          <w:rFonts w:ascii="Segoe UI" w:hAnsi="Segoe UI"/>
          <w:color w:val="19322B"/>
          <w:sz w:val="22"/>
        </w:rPr>
        <w:t>Use compact inline checkboxes, readable sidebar link contrast, palette-based borders and backgrounds, scrollable dialogs, and a horizontally scrollable directory on small screens. Shared profile and recovery screens preserve US phone masking while storing ten digits. Existing users retain usernames, and users cannot edit their own access level. The Switch to Hope Sojourns or Switch to Christian Steps Ministries link appears only when both memberships are active. The switch screen shows progress or a clear retry/sign-in message without showing tokens.</w:t>
      </w:r>
    </w:p>
    <w:p>
      <w:r>
        <w:rPr>
          <w:rFonts w:ascii="Segoe UI" w:hAnsi="Segoe UI"/>
          <w:color w:val="19322B"/>
          <w:sz w:val="22"/>
        </w:rPr>
        <w:t>The shared account UI is maintained in HS admin/account/account.js and copied to CSM's admin/account directory. Both portals keep their own branding. New account forms, role selection, instructions, and permission denial messages must describe the scope of the action plainly, especially changes that affect both portals.</w:t>
      </w:r>
    </w:p>
    <w:p>
      <w:pPr>
        <w:pStyle w:val="Heading1"/>
      </w:pPr>
      <w:r>
        <w:rPr>
          <w:rFonts w:ascii="Georgia" w:hAnsi="Georgia"/>
          <w:b/>
          <w:color w:val="173F35"/>
          <w:sz w:val="32"/>
        </w:rPr>
        <w:t>Donation split editor</w:t>
      </w:r>
    </w:p>
    <w:p>
      <w:r>
        <w:rPr>
          <w:rFonts w:ascii="Segoe UI" w:hAnsi="Segoe UI"/>
          <w:color w:val="19322B"/>
          <w:sz w:val="22"/>
        </w:rPr>
        <w:t>Place Split donation beside eligible income entries. The dialog identifies the original payer and date, charitable amount before fees, and any fee and net deposit. Use labeled donor fields, an existing-contact selector, and Add donor and Remove donor controls. Selecting an existing contact makes identity fields read-only; choosing New donor enables entry. A live Amount remaining message helps the user allocate the complete donation.</w:t>
      </w:r>
    </w:p>
    <w:p>
      <w:r>
        <w:rPr>
          <w:rFonts w:ascii="Segoe UI" w:hAnsi="Segoe UI"/>
          <w:color w:val="19322B"/>
          <w:sz w:val="22"/>
        </w:rPr>
        <w:t>Use two columns for donor fields on wider screens and one column on small screens. Keep dates, amounts, validation messages, Save split, Cancel, and Undo split visible through normal dialog scrolling. Escape and Cancel close without saving. Explain that the original payment remains counted once. Undo requires confirmation and retains a readable change history. Use the shared palette and existing buttons, labels, and focus styles.</w:t>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the login-ID field and make the masked current-password field read-only, with its eye button available to authorized trip editors. Hide the save action and expose one explicit </w:t>
      </w:r>
      <w:r>
        <w:rPr>
          <w:rFonts w:ascii="Segoe UI" w:hAnsi="Segoe UI"/>
          <w:b/>
          <w:color w:val="19322B"/>
          <w:sz w:val="22"/>
        </w:rPr>
        <w:t>Unlock credentials</w:t>
      </w:r>
      <w:r>
        <w:rPr>
          <w:rFonts w:ascii="Segoe UI" w:hAnsi="Segoe UI"/>
          <w:color w:val="19322B"/>
          <w:sz w:val="22"/>
        </w:rPr>
        <w:t xml:space="preserve"> action. Unlocking clears the password for entry; saving revokes prior traveler sessions and returns the card to its masked, locked state. Explain when older passwords must be saved again before reveal is available.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User deletion</w:t>
      </w:r>
    </w:p>
    <w:p>
      <w:r>
        <w:rPr>
          <w:rFonts w:ascii="Segoe UI" w:hAnsi="Segoe UI"/>
          <w:color w:val="19322B"/>
          <w:sz w:val="22"/>
        </w:rPr>
        <w:t>Place Delete user beside the existing user actions, except on the signed-in administrator's own row. The confirmation dialog names the person, explains that access ends while past activity is retained, and requires the exact username. State that the username and email remain reserved. Preserve explicit Save and Cancel controls, validation feedback, and intentional dialog dismissal.</w:t>
      </w:r>
    </w:p>
    <w:p>
      <w:pPr>
        <w:pStyle w:val="Heading1"/>
      </w:pPr>
      <w:r>
        <w:rPr>
          <w:rFonts w:ascii="Georgia" w:hAnsi="Georgia"/>
          <w:b/>
          <w:color w:val="173F35"/>
          <w:sz w:val="32"/>
        </w:rPr>
        <w:t>Personally received gift presentation</w:t>
      </w:r>
    </w:p>
    <w:p>
      <w:r>
        <w:rPr>
          <w:rFonts w:ascii="Segoe UI" w:hAnsi="Segoe UI"/>
          <w:color w:val="19322B"/>
          <w:sz w:val="22"/>
        </w:rPr>
        <w:t>Version 4.10 adds local presentation for gifts received through personal payment accounts. In the Payment inbox, show the original donor and original gift date first, followed by payment method, funds holder, designation, transaction reference, and settlement details. Always distinguish the giver from the person forwarding the money. Use the existing palette, labeled fields, responsive cards, and keyboard-accessible controls.</w:t>
      </w:r>
    </w:p>
    <w:p>
      <w:r>
        <w:rPr>
          <w:rFonts w:ascii="Segoe UI" w:hAnsi="Segoe UI"/>
          <w:color w:val="19322B"/>
          <w:sz w:val="22"/>
        </w:rPr>
        <w:t>CSM provides a separate Personally received gifts workspace with HS contact search, original gift entry, expandable reconciliation rows, evidence attachments, and a step-by-step guide. Status labels distinguish funds still held, queued review, approved, and denied. Present the original donor on statements and identify the gift as Christian Steps Ministries — Hope Sojourns. Bank transfers are settlement information, not additional gifts.</w:t>
      </w:r>
    </w:p>
    <w:p>
      <w:pPr>
        <w:pStyle w:val="Heading1"/>
      </w:pPr>
      <w:r>
        <w:rPr>
          <w:rFonts w:ascii="Georgia" w:hAnsi="Georgia"/>
          <w:b/>
          <w:color w:val="173F35"/>
          <w:sz w:val="32"/>
        </w:rPr>
        <w:t>Gift thank-you email acknowledgments</w:t>
      </w:r>
    </w:p>
    <w:p>
      <w:r>
        <w:rPr>
          <w:rFonts w:ascii="Segoe UI" w:hAnsi="Segoe UI"/>
          <w:color w:val="19322B"/>
          <w:sz w:val="22"/>
        </w:rPr>
        <w:t>Use the approved subject, Thank You for your support of Hope Sojourns. Greet the donor by preferred name when available, otherwise first name. The gift summary contains date given, charitable amount and payment method. Keep the thank-you copy warm and concise. Use the same template for automatic and manual acknowledgments.</w:t>
      </w:r>
    </w:p>
    <w:p>
      <w:r>
        <w:rPr>
          <w:rFonts w:ascii="Segoe UI" w:hAnsi="Segoe UI"/>
          <w:color w:val="19322B"/>
          <w:sz w:val="22"/>
        </w:rPr>
        <w:t>Place the complete Hope Sojourns oval, without its wordmark, to the left of the closing. Preserve its aspect ratio and full outline; do not clip it. Its visible height should match the closing on a full-width email, with responsive scaling on narrower screens. The right column reads WitLooL, followed by Brent's handwritten signature, Brent Kern, Hope Sojourns, 972-505-0171, and Christian Steps Ministries. Do not add a trademark mark beside the closing.</w:t>
      </w:r>
    </w:p>
    <w:p>
      <w:r>
        <w:rPr>
          <w:rFonts w:ascii="Segoe UI" w:hAnsi="Segoe UI"/>
          <w:color w:val="19322B"/>
          <w:sz w:val="22"/>
        </w:rPr>
        <w:t>The footer reads: WitLooL™ means “Working in the Light of our Lord.” WitLooL is a trademark. Include links to https://hopesojourns.com and https://www.christiansteps.net. The sender and reply-to are giving@hopesojourns.com. Derive email colors from the shared root palette through tools/build-gift-email-colors.mjs; email clients receive inline styles and table layout.</w:t>
      </w:r>
    </w:p>
    <w:p>
      <w:r>
        <w:rPr>
          <w:rFonts w:ascii="Segoe UI" w:hAnsi="Segoe UI"/>
          <w:color w:val="19322B"/>
          <w:sz w:val="22"/>
        </w:rPr>
        <w:t>The Ledger and contact giving list expose Gift thank-you. The preview identifies the recipient and subject, displays the complete email, and offers Send thank-you. Successful sends turn the action gray and disable it, with the sent time available. Missing-email and provider errors must remain readable. Test mode says Save test preview and clearly states that no donor email will be sent. Automatic acknowledgment is an explicit Ledger checkbox and is off initially. Keep annual giving letters independent.</w:t>
      </w:r>
    </w:p>
    <w:p>
      <w:pPr>
        <w:pStyle w:val="Heading1"/>
      </w:pPr>
      <w:r>
        <w:rPr>
          <w:rFonts w:ascii="Georgia" w:hAnsi="Georgia"/>
          <w:b/>
          <w:color w:val="173F35"/>
          <w:sz w:val="32"/>
        </w:rPr>
        <w:t>Revision history</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the contact giving card to both portals. Build 2026-09-23.4 hides the entire card for contacts with no gifts in the displayed period.</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24, 2026</w:t>
            </w:r>
          </w:p>
        </w:tc>
        <w:tc>
          <w:tcPr>
            <w:tcW w:type="dxa" w:w="3580"/>
            <w:vAlign w:val="center"/>
          </w:tcPr>
          <w:p>
            <w:pPr>
              <w:spacing w:before="0" w:after="30" w:line="240" w:lineRule="auto"/>
            </w:pPr>
            <w:r>
              <w:rPr>
                <w:rFonts w:ascii="Segoe UI" w:hAnsi="Segoe UI"/>
                <w:color w:val="19322B"/>
                <w:sz w:val="16"/>
              </w:rPr>
              <w:t>4.13</w:t>
            </w:r>
          </w:p>
        </w:tc>
        <w:tc>
          <w:tcPr>
            <w:tcW w:type="dxa" w:w="3580"/>
            <w:vAlign w:val="center"/>
          </w:tcPr>
          <w:p>
            <w:pPr>
              <w:spacing w:before="0" w:after="30" w:line="240" w:lineRule="auto"/>
            </w:pPr>
            <w:r>
              <w:rPr>
                <w:rFonts w:ascii="Segoe UI" w:hAnsi="Segoe UI"/>
                <w:color w:val="19322B"/>
                <w:sz w:val="16"/>
              </w:rPr>
              <w:t>Added the signed-in portal footer guide link and read-only responsive guide layout.</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4.8.3</w:t>
            </w:r>
          </w:p>
        </w:tc>
        <w:tc>
          <w:tcPr>
            <w:tcW w:type="dxa" w:w="3580"/>
            <w:vAlign w:val="center"/>
          </w:tcPr>
          <w:p>
            <w:pPr>
              <w:spacing w:before="0" w:after="3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4.8.2</w:t>
            </w:r>
          </w:p>
        </w:tc>
        <w:tc>
          <w:tcPr>
            <w:tcW w:type="dxa" w:w="3580"/>
            <w:vAlign w:val="center"/>
          </w:tcPr>
          <w:p>
            <w:pPr>
              <w:spacing w:before="0" w:after="3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4.8.1</w:t>
            </w:r>
          </w:p>
        </w:tc>
        <w:tc>
          <w:tcPr>
            <w:tcW w:type="dxa" w:w="3580"/>
            <w:vAlign w:val="center"/>
          </w:tcPr>
          <w:p>
            <w:pPr>
              <w:spacing w:before="0" w:after="3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w:t>
            </w:r>
          </w:p>
        </w:tc>
        <w:tc>
          <w:tcPr>
            <w:tcW w:type="dxa" w:w="3580"/>
            <w:vAlign w:val="center"/>
          </w:tcPr>
          <w:p>
            <w:pPr>
              <w:spacing w:before="0" w:after="3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4.9</w:t>
            </w:r>
          </w:p>
        </w:tc>
        <w:tc>
          <w:tcPr>
            <w:tcW w:type="dxa" w:w="3580"/>
            <w:vAlign w:val="center"/>
          </w:tcPr>
          <w:p>
            <w:pPr>
              <w:spacing w:before="0" w:after="3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collapsed devotional day banners and day navigation.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readable traveler study sections, Scripture emphasis, real lists, underlined reading links, and italic prayers.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shared password, eye-button reveal while locked, and legacy-password and permission explanations.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inbox action buttons, Completed and Trash views, and source-preserving confirmation copy.</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Added shared profile and role terminology, independent portal access fieldsets, scoped actions, and portal-switch navigation.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responsive donor split dialog, remaining-amount feedback, and edit/undo history patterns.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30" w:line="240" w:lineRule="auto"/>
            </w:pPr>
            <w:r>
              <w:rPr>
                <w:rFonts w:ascii="Segoe UI" w:hAnsi="Segoe UI"/>
                <w:color w:val="19322B"/>
                <w:sz w:val="16"/>
              </w:rPr>
              <w:t>2026-09-04</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spacing w:after="0"/>
      </w:pPr>
    </w:p>
    <w:p>
      <w:pPr>
        <w:pStyle w:val="Heading2"/>
      </w:pPr>
      <w:r>
        <w:rPr>
          <w:rFonts w:ascii="Georgia" w:hAnsi="Georgia"/>
          <w:b/>
          <w:color w:val="275D4D"/>
          <w:sz w:val="26"/>
        </w:rPr>
        <w:t>Public design restoration — September 21, 2026</w:t>
      </w:r>
    </w:p>
    <w:p>
      <w:pPr>
        <w:spacing w:after="0"/>
      </w:pPr>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