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4.3</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Managed public destinations</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Ministry Management workspace</w:t>
      </w:r>
    </w:p>
    <w:p>
      <w:pPr>
        <w:numPr>
          <w:ilvl w:val="0"/>
          <w:numId w:val="13"/>
        </w:numPr>
        <w:spacing w:before="0" w:after="80" w:line="300" w:lineRule="auto"/>
        <w:ind w:left="540" w:hanging="271"/>
      </w:pPr>
      <w:r>
        <w:rPr>
          <w:rFonts w:ascii="Segoe UI" w:hAnsi="Segoe UI"/>
          <w:color w:val="19322B"/>
          <w:sz w:val="21"/>
        </w:rPr>
        <w:t>Expanded bookkeeping workspace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Release status: local changes only. Apply migration 0019 before deploying the destination APIs and public assets after explicit release authorization. Preserve unrelated pending homepage redesign changes when preparing a release.</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