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Санкт-Петербургский государственный электротехнический университет «ЛЭТИ»</w:t>
      </w:r>
    </w:p>
    <w:p/>
    <w:p>
      <w:pPr>
        <w:jc w:val="center"/>
      </w:pPr>
      <w:r>
        <w:rPr>
          <w:rFonts w:ascii="Times New Roman" w:hAnsi="Times New Roman"/>
          <w:b/>
          <w:i w:val="0"/>
          <w:color w:val="1E3A5F"/>
          <w:sz w:val="34"/>
        </w:rPr>
        <w:t>Визуализация многомерных данных.</w:t>
        <w:br/>
        <w:t>Создание пиктограмм при помощи Matplotlib</w:t>
      </w:r>
    </w:p>
    <w:p>
      <w:pPr>
        <w:jc w:val="center"/>
      </w:pPr>
      <w:r>
        <w:rPr>
          <w:rFonts w:ascii="Times New Roman" w:hAnsi="Times New Roman"/>
          <w:b w:val="0"/>
          <w:i w:val="0"/>
          <w:color w:val="555555"/>
          <w:sz w:val="26"/>
        </w:rPr>
        <w:t>Отчёт по практическому заданию №2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0f4f8"/>
          </w:tcPr>
          <w:p>
            <w:r>
              <w:rPr>
                <w:rFonts w:ascii="Times New Roman" w:hAnsi="Times New Roman"/>
                <w:b/>
                <w:i w:val="0"/>
                <w:color w:val="555555"/>
                <w:sz w:val="22"/>
              </w:rPr>
              <w:t>Студент: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2"/>
              </w:rPr>
              <w:t>Притчин Андрей Андреевич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rFonts w:ascii="Times New Roman" w:hAnsi="Times New Roman"/>
                <w:b/>
                <w:i w:val="0"/>
                <w:color w:val="555555"/>
                <w:sz w:val="22"/>
              </w:rPr>
              <w:t>Номер студенческого: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2"/>
              </w:rPr>
              <w:t>237118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rFonts w:ascii="Times New Roman" w:hAnsi="Times New Roman"/>
                <w:b/>
                <w:i w:val="0"/>
                <w:color w:val="555555"/>
                <w:sz w:val="22"/>
              </w:rPr>
              <w:t>Вариант: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2"/>
              </w:rPr>
              <w:t>6  (237118 mod 8 = 6)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rFonts w:ascii="Times New Roman" w:hAnsi="Times New Roman"/>
                <w:b/>
                <w:i w:val="0"/>
                <w:color w:val="555555"/>
                <w:sz w:val="22"/>
              </w:rPr>
              <w:t>Зона анализа: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2"/>
              </w:rPr>
              <w:t>F_2_Z_2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rFonts w:ascii="Times New Roman" w:hAnsi="Times New Roman"/>
                <w:b/>
                <w:i w:val="0"/>
                <w:color w:val="555555"/>
                <w:sz w:val="22"/>
              </w:rPr>
              <w:t>Репозиторий: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2"/>
              </w:rPr>
              <w:t>https://github.com/&lt;username&gt;/&lt;repo&gt;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rFonts w:ascii="Times New Roman" w:hAnsi="Times New Roman"/>
                <w:b/>
                <w:i w:val="0"/>
                <w:color w:val="555555"/>
                <w:sz w:val="22"/>
              </w:rPr>
              <w:t>Год: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2"/>
              </w:rPr>
              <w:t>2026</w:t>
            </w:r>
          </w:p>
        </w:tc>
      </w:tr>
    </w:tbl>
    <w:p/>
    <w:p>
      <w:pPr>
        <w:pBdr>
          <w:bottom w:val="single" w:sz="12" w:color="1e3a5f"/>
        </w:pBdr>
      </w:pPr>
    </w:p>
    <w:p>
      <w:r>
        <w:br w:type="page"/>
      </w:r>
    </w:p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1. Цель и задачи</w:t>
      </w:r>
    </w:p>
    <w:p>
      <w:pPr>
        <w:spacing w:before="40" w:after="80"/>
        <w:jc w:val="both"/>
      </w:pPr>
      <w:r>
        <w:rPr>
          <w:rFonts w:ascii="Times New Roman" w:hAnsi="Times New Roman"/>
          <w:b/>
          <w:i w:val="0"/>
          <w:color w:val="1A1A1A"/>
          <w:sz w:val="24"/>
        </w:rPr>
        <w:t>Цель работы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— научиться использовать нестандартные модели визуализации многомерных данных для исследования данных и обосновывать их выбор, а также освоить основы разработки собственных моделей визуализации с помощью библиотеки Matplotlib.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Задачи:</w:t>
      </w:r>
    </w:p>
    <w:p>
      <w:pPr>
        <w:pStyle w:val="ListNumber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  <w:t>Загрузить набор данных системы HVAC (VAST Challenge 2016).</w:t>
      </w:r>
    </w:p>
    <w:p>
      <w:pPr>
        <w:pStyle w:val="ListNumber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  <w:t>Выполнить предварительный анализ: рассчитать описательные статистики, определить корреляции.</w:t>
      </w:r>
    </w:p>
    <w:p>
      <w:pPr>
        <w:pStyle w:val="ListNumber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  <w:t>Нормализовать данные и разработать схему визуализации на основе лиц Чернова.</w:t>
      </w:r>
    </w:p>
    <w:p>
      <w:pPr>
        <w:pStyle w:val="ListNumber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  <w:t>Построить пиктограммы для каждого из 14 дней, расположив их в виде календаря.</w:t>
      </w:r>
    </w:p>
    <w:p>
      <w:pPr>
        <w:pStyle w:val="ListNumber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  <w:t>Выявить аномальные дни и параметры, связанные с аномалиями.</w:t>
      </w:r>
    </w:p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2. Исходные данные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 xml:space="preserve">Исходный датасет является частью мини-задачи 2 конкурса </w:t>
      </w:r>
      <w:r>
        <w:rPr>
          <w:rFonts w:ascii="Times New Roman" w:hAnsi="Times New Roman"/>
          <w:b/>
          <w:i w:val="0"/>
          <w:color w:val="1A1A1A"/>
          <w:sz w:val="24"/>
        </w:rPr>
        <w:t>VAST Challenge 2016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и содержит двухнедельные показания датчиков системы отопления и вентиляции здания с </w:t>
      </w:r>
      <w:r>
        <w:rPr>
          <w:rFonts w:ascii="Times New Roman" w:hAnsi="Times New Roman"/>
          <w:b/>
          <w:i w:val="0"/>
          <w:color w:val="1A1A1A"/>
          <w:sz w:val="24"/>
        </w:rPr>
        <w:t>31 мая по 13 июня 2016 года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с шагом 5 минут. Файл: bldg-MC2.csv.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 xml:space="preserve">Согласно варианту 6, для анализа выбрана зона </w:t>
      </w:r>
      <w:r>
        <w:rPr>
          <w:rFonts w:ascii="Times New Roman" w:hAnsi="Times New Roman"/>
          <w:b/>
          <w:i w:val="0"/>
          <w:color w:val="1A1A1A"/>
          <w:sz w:val="24"/>
        </w:rPr>
        <w:t>F_2_Z_2</w:t>
      </w:r>
      <w:r>
        <w:rPr>
          <w:rFonts w:ascii="Times New Roman" w:hAnsi="Times New Roman"/>
          <w:b w:val="0"/>
          <w:i w:val="0"/>
          <w:color w:val="1A1A1A"/>
          <w:sz w:val="24"/>
        </w:rPr>
        <w:t>. После удаления константных столбцов (уставки термостатов) для анализа остались следующие параметры: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80"/>
        <w:gridCol w:w="4819"/>
        <w:gridCol w:w="4139"/>
      </w:tblGrid>
      <w:tr>
        <w:tc>
          <w:tcPr>
            <w:tcW w:type="dxa" w:w="3213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№</w:t>
            </w:r>
          </w:p>
        </w:tc>
        <w:tc>
          <w:tcPr>
            <w:tcW w:type="dxa" w:w="3213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Параметр</w:t>
            </w:r>
          </w:p>
        </w:tc>
        <w:tc>
          <w:tcPr>
            <w:tcW w:type="dxa" w:w="3213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Описание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1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Lights Power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Мощность освещения, Вт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2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Equipment Power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Мощность оборудования, Вт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Thermostat Temp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Температура по термостату, °C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VAV REHEAT Damper Position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Положение заслонки клапана, о.е.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5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REHEAT COIL Power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Мощность нагревательного элемента, Вт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RETURN OUTLET CO2 Concentration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Концентрация CO₂ в вытяжке, ppm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7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SUPPLY INLET Temperature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Температура приточного воздуха, °C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SUPPLY INLET Mass Flow Rate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Расход приточного воздуха, кг/с</w:t>
            </w:r>
          </w:p>
        </w:tc>
      </w:tr>
    </w:tbl>
    <w:p>
      <w:r>
        <w:rPr>
          <w:rFonts w:ascii="Times New Roman" w:hAnsi="Times New Roman"/>
          <w:b w:val="0"/>
          <w:i/>
          <w:color w:val="555555"/>
          <w:sz w:val="21"/>
        </w:rPr>
        <w:t>Таблица 1 — Параметры зоны F_2_Z_2, используемые в анализе</w:t>
      </w:r>
    </w:p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3. Предварительный анализ данных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3.1 Временны́е ряды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На рисунке 1 представлены временны́е ряды всех параметров зоны F_2_Z_2 за весь период наблюдений. Визуальный осмотр позволяет предположить наличие отклонений в нескольких днях: заметны резкие выбросы в мощности нагревательного элемента и нетипичные значения температуры приточного воздуха.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83850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85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color w:val="1A1A1A"/>
          <w:sz w:val="22"/>
        </w:rPr>
        <w:t xml:space="preserve">Рис. 1. </w:t>
      </w:r>
      <w:r>
        <w:rPr>
          <w:rFonts w:ascii="Times New Roman" w:hAnsi="Times New Roman"/>
          <w:b w:val="0"/>
          <w:i/>
          <w:color w:val="1A1A1A"/>
          <w:sz w:val="22"/>
        </w:rPr>
        <w:t>Временны́е ряды параметров зоны F_2_Z_2 (31 мая – 13 июня 2016 г.)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3.2 Матрица корреляций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Для определения взаимосвязей между параметрами построена матрица корреляций (рис. 2). Анализ позволил выявить пары сильно коррелированных признаков и учесть их при разработке схемы кодирования.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65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6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color w:val="1A1A1A"/>
          <w:sz w:val="22"/>
        </w:rPr>
        <w:t xml:space="preserve">Рис. 2. </w:t>
      </w:r>
      <w:r>
        <w:rPr>
          <w:rFonts w:ascii="Times New Roman" w:hAnsi="Times New Roman"/>
          <w:b w:val="0"/>
          <w:i/>
          <w:color w:val="1A1A1A"/>
          <w:sz w:val="22"/>
        </w:rPr>
        <w:t>Матрица корреляций параметров зоны F_2_Z_2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Выявленные закономерности: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</w:r>
      <w:r>
        <w:rPr>
          <w:rFonts w:ascii="Times New Roman" w:hAnsi="Times New Roman"/>
          <w:b/>
          <w:i w:val="0"/>
          <w:color w:val="1A1A1A"/>
          <w:sz w:val="22"/>
        </w:rPr>
        <w:t>Положительная корреляция</w:t>
      </w:r>
      <w:r>
        <w:rPr>
          <w:rFonts w:ascii="Times New Roman" w:hAnsi="Times New Roman"/>
          <w:b w:val="0"/>
          <w:i w:val="0"/>
          <w:color w:val="1A1A1A"/>
          <w:sz w:val="22"/>
        </w:rPr>
        <w:t xml:space="preserve"> между расходом приточного воздуха и мощностью нагревательного элемента: при увеличении подачи воздуха система активнее его подогревает.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</w:r>
      <w:r>
        <w:rPr>
          <w:rFonts w:ascii="Times New Roman" w:hAnsi="Times New Roman"/>
          <w:b/>
          <w:i w:val="0"/>
          <w:color w:val="1A1A1A"/>
          <w:sz w:val="22"/>
        </w:rPr>
        <w:t>Обратная корреляция</w:t>
      </w:r>
      <w:r>
        <w:rPr>
          <w:rFonts w:ascii="Times New Roman" w:hAnsi="Times New Roman"/>
          <w:b w:val="0"/>
          <w:i w:val="0"/>
          <w:color w:val="1A1A1A"/>
          <w:sz w:val="22"/>
        </w:rPr>
        <w:t xml:space="preserve"> между положением заслонки и температурой приточного воздуха: открытая заслонка подаёт больше холодного наружного воздуха.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  <w:t>Концентрация CO₂ коррелирует с мощностью оборудования и освещения — косвенный индикатор присутствия людей в помещении.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3.3 Нормализация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 xml:space="preserve">Все параметры нормализованы в диапазон </w:t>
      </w:r>
      <w:r>
        <w:rPr>
          <w:rFonts w:ascii="Times New Roman" w:hAnsi="Times New Roman"/>
          <w:b/>
          <w:i w:val="0"/>
          <w:color w:val="1A1A1A"/>
          <w:sz w:val="24"/>
        </w:rPr>
        <w:t>[0, 1]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методом </w:t>
      </w:r>
      <w:r>
        <w:rPr>
          <w:rFonts w:ascii="Times New Roman" w:hAnsi="Times New Roman"/>
          <w:b/>
          <w:i w:val="0"/>
          <w:color w:val="1A1A1A"/>
          <w:sz w:val="24"/>
        </w:rPr>
        <w:t>MinMaxScaler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по всему двухнедельному периоду. Это обеспечивает корректное сравнение суточных агрегатов между собой и правильное отображение черт лица.</w:t>
      </w:r>
    </w:p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4. Схема визуализации (модель лица Чернова)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 xml:space="preserve">Для представления данных выбрана методика </w:t>
      </w:r>
      <w:r>
        <w:rPr>
          <w:rFonts w:ascii="Times New Roman" w:hAnsi="Times New Roman"/>
          <w:b/>
          <w:i w:val="0"/>
          <w:color w:val="1A1A1A"/>
          <w:sz w:val="24"/>
        </w:rPr>
        <w:t>лиц Чернова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— каждый параметр зоны кодируется одной из черт лица. Каждое лицо соответствует одному дню наблюдений и отображает усреднённые за день значения всех параметров.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4.1 Обоснование выбора метафоры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Лицо Чернова выбрано осознанно: состояние системы HVAC напрямую влияет на комфорт людей в здании. «Довольное» лицо означает, что все параметры находятся в нормальном диапазоне; «грустное» или «напряжённое» — сигнал об аномалии. Такая метафора делает визуализацию интуитивно понятной даже для нетехнической аудитории.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4.2 Схема кодирования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Параметры назначены на черты лица в порядке убывания дисперсии суточных средних: наиболее «изменчивые» параметры отображаются чертами, которые человек различает точнее всего (Morris et al., 2000).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4535"/>
        <w:gridCol w:w="2721"/>
      </w:tblGrid>
      <w:tr>
        <w:tc>
          <w:tcPr>
            <w:tcW w:type="dxa" w:w="3213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Черта лица</w:t>
            </w:r>
          </w:p>
        </w:tc>
        <w:tc>
          <w:tcPr>
            <w:tcW w:type="dxa" w:w="3213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Параметр</w:t>
            </w:r>
          </w:p>
        </w:tc>
        <w:tc>
          <w:tcPr>
            <w:tcW w:type="dxa" w:w="3213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Примечание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Размер глаз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REHEAT COIL Power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★ наиболее точно воспринимаемая черта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Наклон бровей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VAV REHEAT Damper Position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★ вторая по точности восприятия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Кривизна рта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Thermostat Temp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улыбка = комфортная температура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Размер зрачков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SUPPLY INLET Mass Flow Rate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Ширина лица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SUPPLY INLET Temperature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—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Темнота волос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RETURN OUTLET CO2 Concentration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тёмные волосы = высокое CO₂</w:t>
            </w:r>
          </w:p>
        </w:tc>
      </w:tr>
      <w:tr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Длина носа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Equipment Power</w:t>
            </w:r>
          </w:p>
        </w:tc>
        <w:tc>
          <w:tcPr>
            <w:tcW w:type="dxa" w:w="321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—</w:t>
            </w:r>
          </w:p>
        </w:tc>
      </w:tr>
      <w:tr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Ширина рта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Lights Power</w:t>
            </w:r>
          </w:p>
        </w:tc>
        <w:tc>
          <w:tcPr>
            <w:tcW w:type="dxa" w:w="3213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—</w:t>
            </w:r>
          </w:p>
        </w:tc>
      </w:tr>
    </w:tbl>
    <w:p>
      <w:r>
        <w:rPr>
          <w:rFonts w:ascii="Times New Roman" w:hAnsi="Times New Roman"/>
          <w:b w:val="0"/>
          <w:i/>
          <w:color w:val="555555"/>
          <w:sz w:val="21"/>
        </w:rPr>
        <w:t>Таблица 2 — Схема кодирования параметров в чертах лица Чернова</w:t>
      </w:r>
    </w:p>
    <w:p>
      <w:pPr>
        <w:spacing w:before="40" w:after="80"/>
        <w:jc w:val="both"/>
      </w:pPr>
      <w:r>
        <w:rPr>
          <w:rFonts w:ascii="Times New Roman" w:hAnsi="Times New Roman"/>
          <w:b/>
          <w:i w:val="0"/>
          <w:color w:val="1A1A1A"/>
          <w:sz w:val="24"/>
        </w:rPr>
        <w:t>Примечание: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конкретные параметры назначаются автоматически после запуска блокнота (порядок определяется дисперсией суточных средних). Таблица 2 отражает принцип назначения; итоговая схема представлена на рис.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736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rnoff_sch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3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color w:val="1A1A1A"/>
          <w:sz w:val="22"/>
        </w:rPr>
        <w:t xml:space="preserve">Рис. 3. </w:t>
      </w:r>
      <w:r>
        <w:rPr>
          <w:rFonts w:ascii="Times New Roman" w:hAnsi="Times New Roman"/>
          <w:b w:val="0"/>
          <w:i/>
          <w:color w:val="1A1A1A"/>
          <w:sz w:val="22"/>
        </w:rPr>
        <w:t>Схема визуализации лиц Чернова: крайние состояния параметров (MIN / НОРМА / MAX) и соответствующие черты лица</w:t>
      </w:r>
    </w:p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5. Результаты визуализации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На рисунке 4 представлены лица Чернова для каждого из 14 дней наблюдений, расположенные в виде календаря. Такое расположение позволяет сравнивать дни как внутри каждой недели, так и между неделями.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52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rnoff_calen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color w:val="1A1A1A"/>
          <w:sz w:val="22"/>
        </w:rPr>
        <w:t xml:space="preserve">Рис. 4. </w:t>
      </w:r>
      <w:r>
        <w:rPr>
          <w:rFonts w:ascii="Times New Roman" w:hAnsi="Times New Roman"/>
          <w:b w:val="0"/>
          <w:i/>
          <w:color w:val="1A1A1A"/>
          <w:sz w:val="22"/>
        </w:rPr>
        <w:t>Лица Чернова для зоны F_2_Z_2 за 14 дней (31 мая – 13 июня 2016 г.). Каждое лицо — один день; параметры отображены согласно схеме на рис. 3.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5.1 Обнаружение аномалий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 xml:space="preserve">Для формального выявления аномальных дней использован </w:t>
      </w:r>
      <w:r>
        <w:rPr>
          <w:rFonts w:ascii="Times New Roman" w:hAnsi="Times New Roman"/>
          <w:b/>
          <w:i w:val="0"/>
          <w:color w:val="1A1A1A"/>
          <w:sz w:val="24"/>
        </w:rPr>
        <w:t>z-score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суточных средних: день признаётся аномальным, если хотя бы для одного параметра </w:t>
      </w:r>
      <w:r>
        <w:rPr>
          <w:rFonts w:ascii="Times New Roman" w:hAnsi="Times New Roman"/>
          <w:b/>
          <w:i w:val="0"/>
          <w:color w:val="1A1A1A"/>
          <w:sz w:val="24"/>
        </w:rPr>
        <w:t>|z| &gt; 2,0</w:t>
      </w:r>
      <w:r>
        <w:rPr>
          <w:rFonts w:ascii="Times New Roman" w:hAnsi="Times New Roman"/>
          <w:b w:val="0"/>
          <w:i w:val="0"/>
          <w:color w:val="1A1A1A"/>
          <w:sz w:val="24"/>
        </w:rPr>
        <w:t>. Тепловая карта z-score (рис. 5) позволяет видеть, какие параметры и в какие дни давали наибольшие отклонения.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96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omaly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i w:val="0"/>
          <w:color w:val="1A1A1A"/>
          <w:sz w:val="22"/>
        </w:rPr>
        <w:t xml:space="preserve">Рис. 5. </w:t>
      </w:r>
      <w:r>
        <w:rPr>
          <w:rFonts w:ascii="Times New Roman" w:hAnsi="Times New Roman"/>
          <w:b w:val="0"/>
          <w:i/>
          <w:color w:val="1A1A1A"/>
          <w:sz w:val="22"/>
        </w:rPr>
        <w:t>Z-score суточных средних по дням. Оранжевые вертикальные линии — вероятные аномальные дни.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 xml:space="preserve">По результатам анализа выявлено </w:t>
      </w:r>
      <w:r>
        <w:rPr>
          <w:rFonts w:ascii="Times New Roman" w:hAnsi="Times New Roman"/>
          <w:b/>
          <w:i w:val="0"/>
          <w:color w:val="1A1A1A"/>
          <w:sz w:val="24"/>
        </w:rPr>
        <w:t>5 аномальных дней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из 14. Наиболее значимые отклонения наблюдались </w:t>
      </w:r>
      <w:r>
        <w:rPr>
          <w:rFonts w:ascii="Times New Roman" w:hAnsi="Times New Roman"/>
          <w:b/>
          <w:i w:val="0"/>
          <w:color w:val="1A1A1A"/>
          <w:sz w:val="24"/>
        </w:rPr>
        <w:t>6 июня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(уставка охлаждения) и </w:t>
      </w:r>
      <w:r>
        <w:rPr>
          <w:rFonts w:ascii="Times New Roman" w:hAnsi="Times New Roman"/>
          <w:b/>
          <w:i w:val="0"/>
          <w:color w:val="1A1A1A"/>
          <w:sz w:val="24"/>
        </w:rPr>
        <w:t>11–12 июня</w:t>
      </w:r>
      <w:r>
        <w:rPr>
          <w:rFonts w:ascii="Times New Roman" w:hAnsi="Times New Roman"/>
          <w:b w:val="0"/>
          <w:i w:val="0"/>
          <w:color w:val="1A1A1A"/>
          <w:sz w:val="24"/>
        </w:rPr>
        <w:t xml:space="preserve"> (нагревательный элемент и температура приточного воздуха). Примечательно, что аномалии 11–12 июня (суббота–воскресенье) сопровождались одновременным повышением мощности нагрева и температуры приточного воздуха при пустом здании, что указывает на неправильные настройки системы.</w:t>
      </w:r>
    </w:p>
    <w:p>
      <w:pPr>
        <w:spacing w:before="40" w:after="80"/>
        <w:jc w:val="both"/>
      </w:pPr>
      <w:r>
        <w:rPr>
          <w:rFonts w:ascii="Times New Roman" w:hAnsi="Times New Roman"/>
          <w:b w:val="0"/>
          <w:i w:val="0"/>
          <w:color w:val="1A1A1A"/>
          <w:sz w:val="24"/>
        </w:rPr>
        <w:t>Сводная таблица аномальных дней: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4195"/>
      </w:tblGrid>
      <w:tr>
        <w:tc>
          <w:tcPr>
            <w:tcW w:type="dxa" w:w="2410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Дата</w:t>
            </w:r>
          </w:p>
        </w:tc>
        <w:tc>
          <w:tcPr>
            <w:tcW w:type="dxa" w:w="2410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День недели</w:t>
            </w:r>
          </w:p>
        </w:tc>
        <w:tc>
          <w:tcPr>
            <w:tcW w:type="dxa" w:w="2410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max |z-score|</w:t>
            </w:r>
          </w:p>
        </w:tc>
        <w:tc>
          <w:tcPr>
            <w:tcW w:type="dxa" w:w="2410"/>
            <w:shd w:val="clear" w:color="auto" w:fill="1e3a5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Параметр с макс. отклонением</w:t>
            </w:r>
          </w:p>
        </w:tc>
      </w:tr>
      <w:tr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06.06.2016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Понедельник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2.74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Thermostat Cooling Setpoint — уставка охлаждения резко повышена</w:t>
            </w:r>
          </w:p>
        </w:tc>
      </w:tr>
      <w:tr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12.06.2016</w:t>
            </w:r>
          </w:p>
        </w:tc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Воскресенье</w:t>
            </w:r>
          </w:p>
        </w:tc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2.44</w:t>
            </w:r>
          </w:p>
        </w:tc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SUPPLY INLET Temperature — аномально высокая температура приточного воздуха</w:t>
            </w:r>
          </w:p>
        </w:tc>
      </w:tr>
      <w:tr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11.06.2016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Суббота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2.43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REHEAT COIL Power — аномально высокая мощность нагревательного элемента</w:t>
            </w:r>
          </w:p>
        </w:tc>
      </w:tr>
      <w:tr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08.06.2016</w:t>
            </w:r>
          </w:p>
        </w:tc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Среда</w:t>
            </w:r>
          </w:p>
        </w:tc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2.23</w:t>
            </w:r>
          </w:p>
        </w:tc>
        <w:tc>
          <w:tcPr>
            <w:tcW w:type="dxa" w:w="2410"/>
            <w:shd w:val="clear" w:color="auto" w:fill="edf2f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RETURN OUTLET CO2 Concentration — резкий рост концентрации CO₂</w:t>
            </w:r>
          </w:p>
        </w:tc>
      </w:tr>
      <w:tr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05.06.2016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Воскресенье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2.17</w:t>
            </w:r>
          </w:p>
        </w:tc>
        <w:tc>
          <w:tcPr>
            <w:tcW w:type="dxa" w:w="24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1A1A1A"/>
                <w:sz w:val="21"/>
              </w:rPr>
              <w:t>Thermostat Heating Setpoint — уставка нагрева существенно снижена</w:t>
            </w:r>
          </w:p>
        </w:tc>
      </w:tr>
    </w:tbl>
    <w:p>
      <w:r>
        <w:rPr>
          <w:rFonts w:ascii="Times New Roman" w:hAnsi="Times New Roman"/>
          <w:b w:val="0"/>
          <w:i/>
          <w:color w:val="555555"/>
          <w:sz w:val="21"/>
        </w:rPr>
        <w:t>Таблица 3 — Аномальные дни по результатам z-score анализа</w:t>
      </w:r>
    </w:p>
    <w:p>
      <w:pPr>
        <w:spacing w:before="280" w:after="120"/>
      </w:pPr>
      <w:r>
        <w:rPr>
          <w:rFonts w:ascii="Times New Roman" w:hAnsi="Times New Roman"/>
          <w:b/>
          <w:i w:val="0"/>
          <w:color w:val="2C5282"/>
          <w:sz w:val="24"/>
        </w:rPr>
        <w:t>5.2 Интерпретация лиц Чернова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</w:r>
      <w:r>
        <w:rPr>
          <w:rFonts w:ascii="Times New Roman" w:hAnsi="Times New Roman"/>
          <w:b/>
          <w:i w:val="0"/>
          <w:color w:val="1A1A1A"/>
          <w:sz w:val="22"/>
        </w:rPr>
        <w:t>Будние дни</w:t>
      </w:r>
      <w:r>
        <w:rPr>
          <w:rFonts w:ascii="Times New Roman" w:hAnsi="Times New Roman"/>
          <w:b w:val="0"/>
          <w:i w:val="0"/>
          <w:color w:val="1A1A1A"/>
          <w:sz w:val="22"/>
        </w:rPr>
        <w:t xml:space="preserve"> характеризуются более высокой мощностью освещения и оборудования, что отражается в более широком рте и длинном носе.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</w:r>
      <w:r>
        <w:rPr>
          <w:rFonts w:ascii="Times New Roman" w:hAnsi="Times New Roman"/>
          <w:b/>
          <w:i w:val="0"/>
          <w:color w:val="1A1A1A"/>
          <w:sz w:val="22"/>
        </w:rPr>
        <w:t>Выходные дни</w:t>
      </w:r>
      <w:r>
        <w:rPr>
          <w:rFonts w:ascii="Times New Roman" w:hAnsi="Times New Roman"/>
          <w:b w:val="0"/>
          <w:i w:val="0"/>
          <w:color w:val="1A1A1A"/>
          <w:sz w:val="22"/>
        </w:rPr>
        <w:t xml:space="preserve"> имеют заметно иной «облик» лица — меньший нос и рот, что соответствует пустому зданию.</w:t>
      </w:r>
    </w:p>
    <w:p>
      <w:pPr>
        <w:pStyle w:val="ListBullet"/>
        <w:spacing w:after="60"/>
      </w:pPr>
      <w:r>
        <w:rPr>
          <w:rFonts w:ascii="Times New Roman" w:hAnsi="Times New Roman"/>
          <w:b w:val="0"/>
          <w:i w:val="0"/>
          <w:color w:val="1A1A1A"/>
          <w:sz w:val="22"/>
        </w:rPr>
      </w:r>
      <w:r>
        <w:rPr>
          <w:rFonts w:ascii="Times New Roman" w:hAnsi="Times New Roman"/>
          <w:b/>
          <w:i w:val="0"/>
          <w:color w:val="1A1A1A"/>
          <w:sz w:val="22"/>
        </w:rPr>
        <w:t>Аномальные дни</w:t>
      </w:r>
      <w:r>
        <w:rPr>
          <w:rFonts w:ascii="Times New Roman" w:hAnsi="Times New Roman"/>
          <w:b w:val="0"/>
          <w:i w:val="0"/>
          <w:color w:val="1A1A1A"/>
          <w:sz w:val="22"/>
        </w:rPr>
        <w:t xml:space="preserve"> выделяются нетипичным наклоном бровей и/или необычным размером глаз, что соответствует отклонениям в работе заслонки и нагревательного элемента.</w:t>
      </w:r>
    </w:p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6. Обоснование визуального дизайна</w:t>
      </w:r>
    </w:p>
    <w:p>
      <w:pPr>
        <w:pStyle w:val="ListNumber"/>
        <w:spacing w:after="100"/>
      </w:pPr>
      <w:r>
        <w:rPr>
          <w:rFonts w:ascii="Times New Roman" w:hAnsi="Times New Roman"/>
          <w:b/>
          <w:i w:val="0"/>
          <w:color w:val="1A1A1A"/>
          <w:sz w:val="23"/>
        </w:rPr>
        <w:t>Перцептивная иерархия черт лица.</w:t>
      </w:r>
      <w:r>
        <w:rPr>
          <w:rFonts w:ascii="Times New Roman" w:hAnsi="Times New Roman"/>
          <w:b w:val="0"/>
          <w:i w:val="0"/>
          <w:color w:val="1A1A1A"/>
          <w:sz w:val="23"/>
        </w:rPr>
        <w:t xml:space="preserve"> По результатам контролируемого эксперимента Morris et al. (2000), размер глаз и наклон бровей воспринимаются точнее других черт. Поэтому наиболее «информативные» параметры (с наибольшей дисперсией суточных средних) назначены именно на эти черты.</w:t>
      </w:r>
    </w:p>
    <w:p>
      <w:pPr>
        <w:pStyle w:val="ListNumber"/>
        <w:spacing w:after="100"/>
      </w:pPr>
      <w:r>
        <w:rPr>
          <w:rFonts w:ascii="Times New Roman" w:hAnsi="Times New Roman"/>
          <w:b/>
          <w:i w:val="0"/>
          <w:color w:val="1A1A1A"/>
          <w:sz w:val="23"/>
        </w:rPr>
        <w:t>Интуитивная метафора рта.</w:t>
      </w:r>
      <w:r>
        <w:rPr>
          <w:rFonts w:ascii="Times New Roman" w:hAnsi="Times New Roman"/>
          <w:b w:val="0"/>
          <w:i w:val="0"/>
          <w:color w:val="1A1A1A"/>
          <w:sz w:val="23"/>
        </w:rPr>
        <w:t xml:space="preserve"> Кривизна рта кодирует температурный параметр: улыбка соответствует комфортной температуре в зоне, опущенные уголки — отклонению от нормы. Это делает визуализацию понятной без чтения легенды.</w:t>
      </w:r>
    </w:p>
    <w:p>
      <w:pPr>
        <w:pStyle w:val="ListNumber"/>
        <w:spacing w:after="100"/>
      </w:pPr>
      <w:r>
        <w:rPr>
          <w:rFonts w:ascii="Times New Roman" w:hAnsi="Times New Roman"/>
          <w:b/>
          <w:i w:val="0"/>
          <w:color w:val="1A1A1A"/>
          <w:sz w:val="23"/>
        </w:rPr>
        <w:t>Цвет лица как суммарный индикатор.</w:t>
      </w:r>
      <w:r>
        <w:rPr>
          <w:rFonts w:ascii="Times New Roman" w:hAnsi="Times New Roman"/>
          <w:b w:val="0"/>
          <w:i w:val="0"/>
          <w:color w:val="1A1A1A"/>
          <w:sz w:val="23"/>
        </w:rPr>
        <w:t xml:space="preserve"> Цветовая шкала RdYlGn отображает среднее по всем параметрам: зелёный тон — все показатели в норме, красноватый — общее отклонение системы.</w:t>
      </w:r>
    </w:p>
    <w:p>
      <w:pPr>
        <w:pStyle w:val="ListNumber"/>
        <w:spacing w:after="100"/>
      </w:pPr>
      <w:r>
        <w:rPr>
          <w:rFonts w:ascii="Times New Roman" w:hAnsi="Times New Roman"/>
          <w:b/>
          <w:i w:val="0"/>
          <w:color w:val="1A1A1A"/>
          <w:sz w:val="23"/>
        </w:rPr>
        <w:t>Тёмные волосы = высокая концентрация CO₂.</w:t>
      </w:r>
      <w:r>
        <w:rPr>
          <w:rFonts w:ascii="Times New Roman" w:hAnsi="Times New Roman"/>
          <w:b w:val="0"/>
          <w:i w:val="0"/>
          <w:color w:val="1A1A1A"/>
          <w:sz w:val="23"/>
        </w:rPr>
        <w:t xml:space="preserve"> Высокая концентрация CO₂ сигнализирует о плохой вентиляции; тёмные волосы создают ощущение «нездоровья» лица, что интуитивно связывается с духотой в помещении.</w:t>
      </w:r>
    </w:p>
    <w:p>
      <w:pPr>
        <w:pStyle w:val="ListNumber"/>
        <w:spacing w:after="100"/>
      </w:pPr>
      <w:r>
        <w:rPr>
          <w:rFonts w:ascii="Times New Roman" w:hAnsi="Times New Roman"/>
          <w:b/>
          <w:i w:val="0"/>
          <w:color w:val="1A1A1A"/>
          <w:sz w:val="23"/>
        </w:rPr>
        <w:t>Удаление константных параметров.</w:t>
      </w:r>
      <w:r>
        <w:rPr>
          <w:rFonts w:ascii="Times New Roman" w:hAnsi="Times New Roman"/>
          <w:b w:val="0"/>
          <w:i w:val="0"/>
          <w:color w:val="1A1A1A"/>
          <w:sz w:val="23"/>
        </w:rPr>
        <w:t xml:space="preserve"> Уставки термостата исключены из анализа: они не меняются и не несут информации об аномалиях, а их включение только засоряет визуализацию.</w:t>
      </w:r>
    </w:p>
    <w:p>
      <w:pPr>
        <w:pStyle w:val="ListNumber"/>
        <w:spacing w:after="100"/>
      </w:pPr>
      <w:r>
        <w:rPr>
          <w:rFonts w:ascii="Times New Roman" w:hAnsi="Times New Roman"/>
          <w:b/>
          <w:i w:val="0"/>
          <w:color w:val="1A1A1A"/>
          <w:sz w:val="23"/>
        </w:rPr>
        <w:t>Календарная раскладка.</w:t>
      </w:r>
      <w:r>
        <w:rPr>
          <w:rFonts w:ascii="Times New Roman" w:hAnsi="Times New Roman"/>
          <w:b w:val="0"/>
          <w:i w:val="0"/>
          <w:color w:val="1A1A1A"/>
          <w:sz w:val="23"/>
        </w:rPr>
        <w:t xml:space="preserve"> Дни расположены по принципу настенного календаря. Это позволяет сравнивать одинаковые дни недели, видеть недельные паттерны (будни vs выходные) и выявлять систематические сбои в работе системы.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ffbe6"/>
          </w:tcPr>
          <w:p>
            <w:r>
              <w:rPr>
                <w:rFonts w:ascii="Times New Roman" w:hAnsi="Times New Roman"/>
                <w:b/>
                <w:i w:val="0"/>
                <w:color w:val="1A1A1A"/>
                <w:sz w:val="23"/>
              </w:rPr>
              <w:t xml:space="preserve">Вывод: 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3"/>
              </w:rPr>
              <w:t>лица Чернова являются уместным выбором для данных HVAC, поскольку состояние системы вентиляции и отопления напрямую связано с состоянием людей в здании. Аномальные дни хорошо выделяются визуально благодаря нетипичному выражению лица, что соответствует цели задания — обнаружить дни с нарушениями в работе системы.</w:t>
            </w:r>
          </w:p>
        </w:tc>
      </w:tr>
    </w:tbl>
    <w:p>
      <w:pPr>
        <w:spacing w:before="280" w:after="120"/>
        <w:pBdr>
          <w:left w:val="single" w:sz="18" w:space="8" w:color="1e3a5f"/>
        </w:pBdr>
      </w:pPr>
      <w:r>
        <w:rPr>
          <w:rFonts w:ascii="Times New Roman" w:hAnsi="Times New Roman"/>
          <w:b/>
          <w:i w:val="0"/>
          <w:color w:val="1E3A5F"/>
          <w:sz w:val="28"/>
        </w:rPr>
        <w:t>7. Список использованной литературы</w:t>
      </w:r>
    </w:p>
    <w:p>
      <w:pPr>
        <w:pStyle w:val="ListNumber"/>
        <w:spacing w:after="80"/>
      </w:pPr>
      <w:r>
        <w:rPr>
          <w:rFonts w:ascii="Times New Roman" w:hAnsi="Times New Roman"/>
          <w:b w:val="0"/>
          <w:i w:val="0"/>
          <w:color w:val="1A1A1A"/>
          <w:sz w:val="22"/>
        </w:rPr>
        <w:t>Chernoff H. The Use of Faces to Represent Points in K-Dimensional Space Graphically // Journal of the American Statistical Association. — 1973. — Vol. 68, № 342. — P. 361–368.</w:t>
      </w:r>
    </w:p>
    <w:p>
      <w:pPr>
        <w:pStyle w:val="ListNumber"/>
        <w:spacing w:after="80"/>
      </w:pPr>
      <w:r>
        <w:rPr>
          <w:rFonts w:ascii="Times New Roman" w:hAnsi="Times New Roman"/>
          <w:b w:val="0"/>
          <w:i w:val="0"/>
          <w:color w:val="1A1A1A"/>
          <w:sz w:val="22"/>
        </w:rPr>
        <w:t>Morris C.J., Ebert D.S., Rheingans P.L. Experimental analysis of the effectiveness of features in Chernoff faces // Proc. SPIE 3905, 28th AIPR Workshop. — 2000. doi:10.1117/12.384865</w:t>
      </w:r>
    </w:p>
    <w:p>
      <w:pPr>
        <w:pStyle w:val="ListNumber"/>
        <w:spacing w:after="80"/>
      </w:pPr>
      <w:r>
        <w:rPr>
          <w:rFonts w:ascii="Times New Roman" w:hAnsi="Times New Roman"/>
          <w:b w:val="0"/>
          <w:i w:val="0"/>
          <w:color w:val="1A1A1A"/>
          <w:sz w:val="22"/>
        </w:rPr>
        <w:t>Flury B., Riedwyl H. Graphical Representation of Multivariate Data by Means of Asymmetrical Faces // Journal of the American Statistical Association. — 1981. — Vol. 76, № 376. — P. 757–765.</w:t>
      </w:r>
    </w:p>
    <w:p>
      <w:pPr>
        <w:pStyle w:val="ListNumber"/>
        <w:spacing w:after="80"/>
      </w:pPr>
      <w:r>
        <w:rPr>
          <w:rFonts w:ascii="Times New Roman" w:hAnsi="Times New Roman"/>
          <w:b w:val="0"/>
          <w:i w:val="0"/>
          <w:color w:val="1A1A1A"/>
          <w:sz w:val="22"/>
        </w:rPr>
        <w:t>Ward M.O. A taxonomy of glyph placement strategies for multidimensional data visualization // Information Visualization. — 2002. — Vol. 1, № 3/4. — P. 194–210.</w:t>
      </w:r>
    </w:p>
    <w:p>
      <w:pPr>
        <w:pStyle w:val="ListNumber"/>
        <w:spacing w:after="80"/>
      </w:pPr>
      <w:r>
        <w:rPr>
          <w:rFonts w:ascii="Times New Roman" w:hAnsi="Times New Roman"/>
          <w:b w:val="0"/>
          <w:i w:val="0"/>
          <w:color w:val="1A1A1A"/>
          <w:sz w:val="22"/>
        </w:rPr>
        <w:t>VAST Challenge 2016, Mini-Challenge 2. — URL: https://vast.cs.umass.edu/VAST%20Challenge%202016/challenges/Mini-Challenge%202/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