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44"/>
          <w:szCs w:val="52"/>
        </w:rPr>
      </w:pPr>
      <w:r>
        <w:rPr>
          <w:rFonts w:hint="eastAsia" w:ascii="微软雅黑" w:hAnsi="微软雅黑" w:eastAsia="微软雅黑" w:cs="微软雅黑"/>
          <w:b/>
          <w:color w:val="A52A00"/>
          <w:kern w:val="0"/>
          <w:sz w:val="52"/>
          <w:szCs w:val="52"/>
          <w:lang w:val="en-US" w:eastAsia="zh-CN" w:bidi="ar"/>
        </w:rPr>
        <w:t>c库api相关</w:t>
      </w:r>
    </w:p>
    <w:p>
      <w:pPr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rect id="_x0000_i10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首先解压ipa 找到主文件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3740" cy="2519680"/>
            <wp:effectExtent l="0" t="0" r="16510" b="13970"/>
            <wp:docPr id="30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找到报告里的风险项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05045" cy="3889375"/>
            <wp:effectExtent l="0" t="0" r="14605" b="15875"/>
            <wp:docPr id="33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可以看到这里有3个不安全的 api 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  <w:right w:val="none" w:color="auto" w:sz="0" w:space="0"/>
        </w:pBdr>
        <w:spacing w:after="0" w:afterAutospacing="0"/>
        <w:ind w:left="45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memcpy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sscanf</w:t>
      </w:r>
    </w:p>
    <w:p>
      <w:pPr>
        <w:pStyle w:val="2"/>
        <w:keepNext w:val="0"/>
        <w:keepLines w:val="0"/>
        <w:widowControl/>
        <w:suppressLineNumbers w:val="0"/>
        <w:spacing w:after="0" w:afterAutospacing="0"/>
        <w:ind w:left="45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strlen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打开 hopper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2870" cy="2824480"/>
            <wp:effectExtent l="0" t="0" r="17780" b="13970"/>
            <wp:docPr id="29" name="图片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这个工具是个跨平台的工具   linux 和 mac平台打开都可以使用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2925" cy="2924175"/>
            <wp:effectExtent l="0" t="0" r="15875" b="9525"/>
            <wp:docPr id="27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8810" cy="2761615"/>
            <wp:effectExtent l="0" t="0" r="15240" b="635"/>
            <wp:docPr id="32" name="图片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9905" cy="2781300"/>
            <wp:effectExtent l="0" t="0" r="10795" b="0"/>
            <wp:docPr id="26" name="图片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这里如果没有进行封装 可以直接看上下文引用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bookmarkStart w:id="0" w:name="_GoBack"/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0100" cy="4117975"/>
            <wp:effectExtent l="0" t="0" r="6350" b="15875"/>
            <wp:docPr id="31" name="图片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5240" cy="3721100"/>
            <wp:effectExtent l="0" t="0" r="10160" b="12700"/>
            <wp:docPr id="18" name="图片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8540" cy="4406265"/>
            <wp:effectExtent l="0" t="0" r="16510" b="13335"/>
            <wp:docPr id="19" name="图片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440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8990" cy="3440430"/>
            <wp:effectExtent l="0" t="0" r="16510" b="7620"/>
            <wp:docPr id="28" name="图片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5490" cy="3663950"/>
            <wp:effectExtent l="0" t="0" r="3810" b="12700"/>
            <wp:docPr id="20" name="图片 3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90205" cy="4909185"/>
            <wp:effectExtent l="0" t="0" r="10795" b="5715"/>
            <wp:docPr id="22" name="图片 3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90205" cy="490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sscanf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strlen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 同上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后续可以根据 上层函数引用  伪代码逻辑 和字符串特征等 确定风险 api 是在 静态的编译的第三方sdk 还是主文件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定位修改</w:t>
      </w:r>
    </w:p>
    <w:p>
      <w:pPr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rect id="_x0000_i105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color w:val="A52A00"/>
          <w:kern w:val="0"/>
          <w:sz w:val="24"/>
          <w:szCs w:val="24"/>
          <w:lang w:val="en-US" w:eastAsia="zh-CN" w:bidi="ar"/>
        </w:rPr>
        <w:t>UIWebView 相关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首先解压ipa 找到主文件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9405" cy="2347595"/>
            <wp:effectExtent l="0" t="0" r="10795" b="14605"/>
            <wp:docPr id="21" name="图片 3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4" descr="IMG_2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找到报告里的风险项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8060" cy="4081145"/>
            <wp:effectExtent l="0" t="0" r="2540" b="14605"/>
            <wp:docPr id="23" name="图片 3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5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 w:bidi="ar"/>
        </w:rPr>
        <w:t>打开 hopper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7740" cy="3295650"/>
            <wp:effectExtent l="0" t="0" r="10160" b="0"/>
            <wp:docPr id="24" name="图片 3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6" descr="IMG_2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这个工具是个跨平台的工具   linux 和 mac平台打开都可以使用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80805" cy="4138295"/>
            <wp:effectExtent l="0" t="0" r="10795" b="14605"/>
            <wp:docPr id="25" name="图片 3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7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80805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输入 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UIWebView 可以看到 已经看到了很多引用方法 此刻函数头按 x找到相关上下文引用。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后续可以根据 上层函数引用  伪代码逻辑 和字符串特征等 确定风险 api 是在 静态的编译的第三方sdk 还是主文件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然后定位修改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627625"/>
    <w:rsid w:val="5D53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smile</dc:creator>
  <cp:lastModifiedBy>smile</cp:lastModifiedBy>
  <dcterms:modified xsi:type="dcterms:W3CDTF">2020-04-30T04:27:57Z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