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024A98" w14:textId="77777777" w:rsidR="00A4180E" w:rsidRDefault="00BB16B1">
      <w:pPr>
        <w:pStyle w:val="Heading"/>
      </w:pPr>
      <w:r>
        <w:t xml:space="preserve">TP en cartographie &amp; SIG: </w:t>
      </w:r>
      <w:r>
        <w:rPr>
          <w:rFonts w:ascii="Avenir Next Demi Bold" w:hAnsi="Avenir Next Demi Bold"/>
        </w:rPr>
        <w:t>Indicateurs</w:t>
      </w:r>
    </w:p>
    <w:p w14:paraId="43F46D2E" w14:textId="77777777" w:rsidR="00A4180E" w:rsidRDefault="00BB16B1">
      <w:pPr>
        <w:pStyle w:val="Heading2"/>
      </w:pPr>
      <w:r>
        <w:t>1.</w:t>
      </w:r>
      <w:r>
        <w:tab/>
        <w:t>Définition</w:t>
      </w:r>
    </w:p>
    <w:p w14:paraId="130D4DE3" w14:textId="77777777" w:rsidR="00A4180E" w:rsidRPr="008F41F6" w:rsidRDefault="00BB16B1">
      <w:pPr>
        <w:pStyle w:val="Body"/>
        <w:rPr>
          <w:sz w:val="18"/>
          <w:szCs w:val="18"/>
        </w:rPr>
      </w:pPr>
      <w:r w:rsidRPr="008F41F6">
        <w:rPr>
          <w:sz w:val="18"/>
          <w:szCs w:val="18"/>
        </w:rPr>
        <w:t xml:space="preserve">Un indicateur permet de quantifier et puis analyser et visualiser un phénomène localisé dans l'espace, à travers des mesures directes ou indirectes. Nous avons à disposition des données démographiques et économiques. L'indicateur permet de mettre en relation deux valeurs, d'où sa nature relative. Un indicateur peut être aussi simple qu'un pourcentage, par exemple la part de population très âgée. </w:t>
      </w:r>
      <w:proofErr w:type="gramStart"/>
      <w:r w:rsidRPr="008F41F6">
        <w:rPr>
          <w:sz w:val="18"/>
          <w:szCs w:val="18"/>
        </w:rPr>
        <w:t>Ou</w:t>
      </w:r>
      <w:proofErr w:type="gramEnd"/>
      <w:r w:rsidRPr="008F41F6">
        <w:rPr>
          <w:sz w:val="18"/>
          <w:szCs w:val="18"/>
        </w:rPr>
        <w:t xml:space="preserve"> il peut être un peu plus él</w:t>
      </w:r>
      <w:bookmarkStart w:id="0" w:name="_GoBack"/>
      <w:bookmarkEnd w:id="0"/>
      <w:r w:rsidRPr="008F41F6">
        <w:rPr>
          <w:sz w:val="18"/>
          <w:szCs w:val="18"/>
        </w:rPr>
        <w:t>aboré, comme les indices de localisation qui comparent un ratio d'une région avec une région de référence (généralement la totalité de la région étudiée).</w:t>
      </w:r>
    </w:p>
    <w:p w14:paraId="0071BE95" w14:textId="77777777" w:rsidR="00A4180E" w:rsidRPr="008F41F6" w:rsidRDefault="00BB16B1">
      <w:pPr>
        <w:pStyle w:val="Body"/>
        <w:rPr>
          <w:sz w:val="18"/>
          <w:szCs w:val="18"/>
        </w:rPr>
      </w:pPr>
      <w:r w:rsidRPr="008F41F6">
        <w:rPr>
          <w:sz w:val="18"/>
          <w:szCs w:val="18"/>
        </w:rPr>
        <w:t xml:space="preserve">Étant une valeur relative, ces indicateurs se prêtent à une carte </w:t>
      </w:r>
      <w:proofErr w:type="spellStart"/>
      <w:r w:rsidRPr="008F41F6">
        <w:rPr>
          <w:sz w:val="18"/>
          <w:szCs w:val="18"/>
        </w:rPr>
        <w:t>choroplèthe</w:t>
      </w:r>
      <w:proofErr w:type="spellEnd"/>
      <w:r w:rsidRPr="008F41F6">
        <w:rPr>
          <w:sz w:val="18"/>
          <w:szCs w:val="18"/>
        </w:rPr>
        <w:t>, éventuellement en combinaison avec des symboles proportionnels.</w:t>
      </w:r>
    </w:p>
    <w:p w14:paraId="26A907B0" w14:textId="77777777" w:rsidR="00A4180E" w:rsidRDefault="00BB16B1">
      <w:pPr>
        <w:pStyle w:val="Heading2"/>
      </w:pPr>
      <w:r>
        <w:t>2.</w:t>
      </w:r>
      <w:r>
        <w:tab/>
        <w:t>Exemples d'indicateurs potentiels</w:t>
      </w:r>
    </w:p>
    <w:p w14:paraId="3D98AF33" w14:textId="77777777" w:rsidR="00A4180E" w:rsidRPr="008F41F6" w:rsidRDefault="00BB16B1">
      <w:pPr>
        <w:pStyle w:val="Body"/>
        <w:rPr>
          <w:sz w:val="18"/>
          <w:szCs w:val="18"/>
        </w:rPr>
      </w:pPr>
      <w:r w:rsidRPr="008F41F6">
        <w:rPr>
          <w:sz w:val="18"/>
          <w:szCs w:val="18"/>
        </w:rPr>
        <w:t>Ci-dessous il y a une liste d'indicateurs possibles sur la base de nos données disponibles. Vous devez sélectionner un de ces indicateurs, ou construire un qui est similaire sur la base du tableau Excel qui vous a été fourni.</w:t>
      </w:r>
    </w:p>
    <w:tbl>
      <w:tblPr>
        <w:tblStyle w:val="TableNormal"/>
        <w:tblW w:w="8444" w:type="dxa"/>
        <w:tblInd w:w="958" w:type="dxa"/>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ayout w:type="fixed"/>
        <w:tblLook w:val="04A0" w:firstRow="1" w:lastRow="0" w:firstColumn="1" w:lastColumn="0" w:noHBand="0" w:noVBand="1"/>
      </w:tblPr>
      <w:tblGrid>
        <w:gridCol w:w="2056"/>
        <w:gridCol w:w="2491"/>
        <w:gridCol w:w="3897"/>
      </w:tblGrid>
      <w:tr w:rsidR="00A4180E" w:rsidRPr="008F41F6" w14:paraId="13C59E13" w14:textId="77777777" w:rsidTr="008F41F6">
        <w:trPr>
          <w:trHeight w:val="280"/>
          <w:tblHeader/>
        </w:trPr>
        <w:tc>
          <w:tcPr>
            <w:tcW w:w="2056" w:type="dxa"/>
            <w:tcBorders>
              <w:top w:val="nil"/>
              <w:left w:val="nil"/>
              <w:bottom w:val="single" w:sz="8" w:space="0" w:color="406091"/>
              <w:right w:val="nil"/>
            </w:tcBorders>
            <w:shd w:val="clear" w:color="auto" w:fill="FEFFFE"/>
            <w:tcMar>
              <w:top w:w="80" w:type="dxa"/>
              <w:left w:w="80" w:type="dxa"/>
              <w:bottom w:w="80" w:type="dxa"/>
              <w:right w:w="80" w:type="dxa"/>
            </w:tcMar>
          </w:tcPr>
          <w:p w14:paraId="258608B7" w14:textId="77777777" w:rsidR="00A4180E" w:rsidRPr="008F41F6" w:rsidRDefault="00BB16B1">
            <w:pPr>
              <w:pStyle w:val="TableStyle1"/>
              <w:rPr>
                <w:sz w:val="18"/>
                <w:szCs w:val="18"/>
              </w:rPr>
            </w:pPr>
            <w:proofErr w:type="spellStart"/>
            <w:r w:rsidRPr="008F41F6">
              <w:rPr>
                <w:rFonts w:ascii="Avenir Next Demi Bold" w:hAnsi="Avenir Next Demi Bold"/>
                <w:b w:val="0"/>
                <w:bCs w:val="0"/>
                <w:sz w:val="18"/>
                <w:szCs w:val="18"/>
              </w:rPr>
              <w:t>Indicateur</w:t>
            </w:r>
            <w:proofErr w:type="spellEnd"/>
          </w:p>
        </w:tc>
        <w:tc>
          <w:tcPr>
            <w:tcW w:w="2491" w:type="dxa"/>
            <w:tcBorders>
              <w:top w:val="nil"/>
              <w:left w:val="nil"/>
              <w:bottom w:val="single" w:sz="8" w:space="0" w:color="406091"/>
              <w:right w:val="nil"/>
            </w:tcBorders>
            <w:shd w:val="clear" w:color="auto" w:fill="FEFFFE"/>
            <w:tcMar>
              <w:top w:w="80" w:type="dxa"/>
              <w:left w:w="80" w:type="dxa"/>
              <w:bottom w:w="80" w:type="dxa"/>
              <w:right w:w="80" w:type="dxa"/>
            </w:tcMar>
          </w:tcPr>
          <w:p w14:paraId="220913B9" w14:textId="77777777" w:rsidR="00A4180E" w:rsidRPr="008F41F6" w:rsidRDefault="00BB16B1">
            <w:pPr>
              <w:pStyle w:val="TableStyle1"/>
              <w:rPr>
                <w:sz w:val="18"/>
                <w:szCs w:val="18"/>
              </w:rPr>
            </w:pPr>
            <w:proofErr w:type="spellStart"/>
            <w:r w:rsidRPr="008F41F6">
              <w:rPr>
                <w:rFonts w:ascii="Avenir Next Demi Bold" w:hAnsi="Avenir Next Demi Bold"/>
                <w:b w:val="0"/>
                <w:bCs w:val="0"/>
                <w:sz w:val="18"/>
                <w:szCs w:val="18"/>
              </w:rPr>
              <w:t>Calcul</w:t>
            </w:r>
            <w:proofErr w:type="spellEnd"/>
          </w:p>
        </w:tc>
        <w:tc>
          <w:tcPr>
            <w:tcW w:w="3897" w:type="dxa"/>
            <w:tcBorders>
              <w:top w:val="nil"/>
              <w:left w:val="nil"/>
              <w:bottom w:val="single" w:sz="8" w:space="0" w:color="406091"/>
              <w:right w:val="nil"/>
            </w:tcBorders>
            <w:shd w:val="clear" w:color="auto" w:fill="FEFFFE"/>
            <w:tcMar>
              <w:top w:w="80" w:type="dxa"/>
              <w:left w:w="80" w:type="dxa"/>
              <w:bottom w:w="80" w:type="dxa"/>
              <w:right w:w="80" w:type="dxa"/>
            </w:tcMar>
          </w:tcPr>
          <w:p w14:paraId="51465F5F" w14:textId="77777777" w:rsidR="00A4180E" w:rsidRPr="008F41F6" w:rsidRDefault="00BB16B1">
            <w:pPr>
              <w:pStyle w:val="TableStyle1"/>
              <w:rPr>
                <w:sz w:val="18"/>
                <w:szCs w:val="18"/>
              </w:rPr>
            </w:pPr>
            <w:proofErr w:type="spellStart"/>
            <w:r w:rsidRPr="008F41F6">
              <w:rPr>
                <w:rFonts w:ascii="Avenir Next Demi Bold" w:hAnsi="Avenir Next Demi Bold"/>
                <w:b w:val="0"/>
                <w:bCs w:val="0"/>
                <w:sz w:val="18"/>
                <w:szCs w:val="18"/>
              </w:rPr>
              <w:t>Commentaire</w:t>
            </w:r>
            <w:proofErr w:type="spellEnd"/>
          </w:p>
        </w:tc>
      </w:tr>
      <w:tr w:rsidR="00A4180E" w:rsidRPr="008F41F6" w14:paraId="2E3F7C6F" w14:textId="77777777" w:rsidTr="008F41F6">
        <w:tblPrEx>
          <w:shd w:val="clear" w:color="auto" w:fill="auto"/>
        </w:tblPrEx>
        <w:trPr>
          <w:trHeight w:val="2170"/>
        </w:trPr>
        <w:tc>
          <w:tcPr>
            <w:tcW w:w="2056" w:type="dxa"/>
            <w:tcBorders>
              <w:top w:val="single" w:sz="8" w:space="0" w:color="406091"/>
              <w:left w:val="nil"/>
              <w:bottom w:val="nil"/>
              <w:right w:val="nil"/>
            </w:tcBorders>
            <w:shd w:val="clear" w:color="auto" w:fill="auto"/>
            <w:tcMar>
              <w:top w:w="80" w:type="dxa"/>
              <w:left w:w="80" w:type="dxa"/>
              <w:bottom w:w="80" w:type="dxa"/>
              <w:right w:w="80" w:type="dxa"/>
            </w:tcMar>
          </w:tcPr>
          <w:p w14:paraId="1F4DFB39" w14:textId="77777777" w:rsidR="00A4180E" w:rsidRPr="008F41F6" w:rsidRDefault="00BB16B1">
            <w:pPr>
              <w:pStyle w:val="TableStyle2"/>
              <w:rPr>
                <w:sz w:val="18"/>
                <w:szCs w:val="18"/>
              </w:rPr>
            </w:pPr>
            <w:proofErr w:type="spellStart"/>
            <w:r w:rsidRPr="008F41F6">
              <w:rPr>
                <w:rFonts w:ascii="Avenir Next" w:hAnsi="Avenir Next"/>
                <w:sz w:val="18"/>
                <w:szCs w:val="18"/>
              </w:rPr>
              <w:t>Croissance</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moyenne</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annuelle</w:t>
            </w:r>
            <w:proofErr w:type="spellEnd"/>
            <w:r w:rsidRPr="008F41F6">
              <w:rPr>
                <w:rFonts w:ascii="Avenir Next" w:hAnsi="Avenir Next"/>
                <w:sz w:val="18"/>
                <w:szCs w:val="18"/>
              </w:rPr>
              <w:t xml:space="preserve"> de la population 2011 – 2014, en %</w:t>
            </w:r>
          </w:p>
        </w:tc>
        <w:tc>
          <w:tcPr>
            <w:tcW w:w="2491" w:type="dxa"/>
            <w:tcBorders>
              <w:top w:val="single" w:sz="8" w:space="0" w:color="406091"/>
              <w:left w:val="nil"/>
              <w:bottom w:val="nil"/>
              <w:right w:val="nil"/>
            </w:tcBorders>
            <w:shd w:val="clear" w:color="auto" w:fill="auto"/>
            <w:tcMar>
              <w:top w:w="80" w:type="dxa"/>
              <w:left w:w="80" w:type="dxa"/>
              <w:bottom w:w="80" w:type="dxa"/>
              <w:right w:w="80" w:type="dxa"/>
            </w:tcMar>
          </w:tcPr>
          <w:p w14:paraId="0DAB75A7" w14:textId="77777777" w:rsidR="00A4180E" w:rsidRPr="008F41F6" w:rsidRDefault="00BB16B1">
            <w:pPr>
              <w:pStyle w:val="TableStyle2"/>
              <w:rPr>
                <w:sz w:val="18"/>
                <w:szCs w:val="18"/>
              </w:rPr>
            </w:pPr>
            <w:r w:rsidRPr="008F41F6">
              <w:rPr>
                <w:rFonts w:ascii="Avenir Next" w:hAnsi="Avenir Next"/>
                <w:sz w:val="18"/>
                <w:szCs w:val="18"/>
              </w:rPr>
              <w:t>((</w:t>
            </w:r>
            <w:proofErr w:type="gramStart"/>
            <w:r w:rsidRPr="008F41F6">
              <w:rPr>
                <w:rFonts w:ascii="Avenir Next" w:hAnsi="Avenir Next"/>
                <w:sz w:val="18"/>
                <w:szCs w:val="18"/>
              </w:rPr>
              <w:t>( pop2014</w:t>
            </w:r>
            <w:proofErr w:type="gramEnd"/>
            <w:r w:rsidRPr="008F41F6">
              <w:rPr>
                <w:rFonts w:ascii="Avenir Next" w:hAnsi="Avenir Next"/>
                <w:sz w:val="18"/>
                <w:szCs w:val="18"/>
              </w:rPr>
              <w:t xml:space="preserve"> / pop2010 )^(1/</w:t>
            </w:r>
            <w:proofErr w:type="spellStart"/>
            <w:r w:rsidRPr="008F41F6">
              <w:rPr>
                <w:rFonts w:ascii="Avenir Next" w:hAnsi="Avenir Next"/>
                <w:sz w:val="18"/>
                <w:szCs w:val="18"/>
              </w:rPr>
              <w:t>nbre_annee</w:t>
            </w:r>
            <w:proofErr w:type="spellEnd"/>
            <w:r w:rsidRPr="008F41F6">
              <w:rPr>
                <w:rFonts w:ascii="Avenir Next" w:hAnsi="Avenir Next"/>
                <w:sz w:val="18"/>
                <w:szCs w:val="18"/>
              </w:rPr>
              <w:t>)) - 1 ) * 100</w:t>
            </w:r>
          </w:p>
        </w:tc>
        <w:tc>
          <w:tcPr>
            <w:tcW w:w="3897" w:type="dxa"/>
            <w:tcBorders>
              <w:top w:val="single" w:sz="8" w:space="0" w:color="406091"/>
              <w:left w:val="nil"/>
              <w:bottom w:val="nil"/>
              <w:right w:val="nil"/>
            </w:tcBorders>
            <w:shd w:val="clear" w:color="auto" w:fill="auto"/>
            <w:tcMar>
              <w:top w:w="80" w:type="dxa"/>
              <w:left w:w="80" w:type="dxa"/>
              <w:bottom w:w="80" w:type="dxa"/>
              <w:right w:w="80" w:type="dxa"/>
            </w:tcMar>
          </w:tcPr>
          <w:p w14:paraId="05CD4723" w14:textId="77777777" w:rsidR="00A4180E" w:rsidRPr="008F41F6" w:rsidRDefault="00BB16B1">
            <w:pPr>
              <w:pStyle w:val="TableStyle2"/>
              <w:rPr>
                <w:sz w:val="18"/>
                <w:szCs w:val="18"/>
              </w:rPr>
            </w:pPr>
            <w:proofErr w:type="spellStart"/>
            <w:r w:rsidRPr="008F41F6">
              <w:rPr>
                <w:rFonts w:ascii="Avenir Next" w:hAnsi="Avenir Next"/>
                <w:sz w:val="18"/>
                <w:szCs w:val="18"/>
              </w:rPr>
              <w:t>Croissance</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annuelle</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moyenne</w:t>
            </w:r>
            <w:proofErr w:type="spellEnd"/>
            <w:r w:rsidRPr="008F41F6">
              <w:rPr>
                <w:rFonts w:ascii="Avenir Next" w:hAnsi="Avenir Next"/>
                <w:sz w:val="18"/>
                <w:szCs w:val="18"/>
              </w:rPr>
              <w:t xml:space="preserve"> de la population, en </w:t>
            </w:r>
            <w:proofErr w:type="spellStart"/>
            <w:r w:rsidRPr="008F41F6">
              <w:rPr>
                <w:rFonts w:ascii="Avenir Next" w:hAnsi="Avenir Next"/>
                <w:sz w:val="18"/>
                <w:szCs w:val="18"/>
              </w:rPr>
              <w:t>pourcentages</w:t>
            </w:r>
            <w:proofErr w:type="spellEnd"/>
            <w:r w:rsidRPr="008F41F6">
              <w:rPr>
                <w:rFonts w:ascii="Avenir Next" w:hAnsi="Avenir Next"/>
                <w:sz w:val="18"/>
                <w:szCs w:val="18"/>
              </w:rPr>
              <w:t xml:space="preserve">. La </w:t>
            </w:r>
            <w:proofErr w:type="spellStart"/>
            <w:r w:rsidRPr="008F41F6">
              <w:rPr>
                <w:rFonts w:ascii="Avenir Next" w:hAnsi="Avenir Next"/>
                <w:sz w:val="18"/>
                <w:szCs w:val="18"/>
              </w:rPr>
              <w:t>croissance</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annuelle</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est</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normalisée</w:t>
            </w:r>
            <w:proofErr w:type="spellEnd"/>
            <w:r w:rsidRPr="008F41F6">
              <w:rPr>
                <w:rFonts w:ascii="Avenir Next" w:hAnsi="Avenir Next"/>
                <w:sz w:val="18"/>
                <w:szCs w:val="18"/>
              </w:rPr>
              <w:t xml:space="preserve"> pour </w:t>
            </w:r>
            <w:proofErr w:type="spellStart"/>
            <w:r w:rsidRPr="008F41F6">
              <w:rPr>
                <w:rFonts w:ascii="Avenir Next" w:hAnsi="Avenir Next"/>
                <w:sz w:val="18"/>
                <w:szCs w:val="18"/>
              </w:rPr>
              <w:t>pouvoir</w:t>
            </w:r>
            <w:proofErr w:type="spellEnd"/>
            <w:r w:rsidRPr="008F41F6">
              <w:rPr>
                <w:rFonts w:ascii="Avenir Next" w:hAnsi="Avenir Next"/>
                <w:sz w:val="18"/>
                <w:szCs w:val="18"/>
              </w:rPr>
              <w:t xml:space="preserve"> comparer des </w:t>
            </w:r>
            <w:proofErr w:type="spellStart"/>
            <w:r w:rsidRPr="008F41F6">
              <w:rPr>
                <w:rFonts w:ascii="Avenir Next" w:hAnsi="Avenir Next"/>
                <w:sz w:val="18"/>
                <w:szCs w:val="18"/>
              </w:rPr>
              <w:t>périodes</w:t>
            </w:r>
            <w:proofErr w:type="spellEnd"/>
            <w:r w:rsidRPr="008F41F6">
              <w:rPr>
                <w:rFonts w:ascii="Avenir Next" w:hAnsi="Avenir Next"/>
                <w:sz w:val="18"/>
                <w:szCs w:val="18"/>
              </w:rPr>
              <w:t xml:space="preserve"> de temps de </w:t>
            </w:r>
            <w:proofErr w:type="spellStart"/>
            <w:r w:rsidRPr="008F41F6">
              <w:rPr>
                <w:rFonts w:ascii="Avenir Next" w:hAnsi="Avenir Next"/>
                <w:sz w:val="18"/>
                <w:szCs w:val="18"/>
              </w:rPr>
              <w:t>longueurs</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différentes</w:t>
            </w:r>
            <w:proofErr w:type="spellEnd"/>
            <w:r w:rsidRPr="008F41F6">
              <w:rPr>
                <w:rFonts w:ascii="Avenir Next" w:hAnsi="Avenir Next"/>
                <w:sz w:val="18"/>
                <w:szCs w:val="18"/>
              </w:rPr>
              <w:t>.</w:t>
            </w:r>
          </w:p>
          <w:p w14:paraId="2F2EB76C" w14:textId="4588DAAA" w:rsidR="00A4180E" w:rsidRPr="008F41F6" w:rsidRDefault="00FB2073" w:rsidP="00FB2073">
            <w:pPr>
              <w:pStyle w:val="TableStyle2"/>
              <w:rPr>
                <w:sz w:val="18"/>
                <w:szCs w:val="18"/>
              </w:rPr>
            </w:pPr>
            <w:r w:rsidRPr="008F41F6">
              <w:rPr>
                <w:rFonts w:ascii="Avenir Next" w:hAnsi="Avenir Next"/>
                <w:sz w:val="18"/>
                <w:szCs w:val="18"/>
              </w:rPr>
              <w:t>Si</w:t>
            </w:r>
            <w:r w:rsidR="00BB16B1" w:rsidRPr="008F41F6">
              <w:rPr>
                <w:rFonts w:ascii="Avenir Next" w:hAnsi="Avenir Next"/>
                <w:sz w:val="18"/>
                <w:szCs w:val="18"/>
              </w:rPr>
              <w:t xml:space="preserve"> la </w:t>
            </w:r>
            <w:proofErr w:type="spellStart"/>
            <w:r w:rsidR="00BB16B1" w:rsidRPr="008F41F6">
              <w:rPr>
                <w:rFonts w:ascii="Avenir Next" w:hAnsi="Avenir Next"/>
                <w:sz w:val="18"/>
                <w:szCs w:val="18"/>
              </w:rPr>
              <w:t>croissance</w:t>
            </w:r>
            <w:proofErr w:type="spellEnd"/>
            <w:r w:rsidR="00BB16B1" w:rsidRPr="008F41F6">
              <w:rPr>
                <w:rFonts w:ascii="Avenir Next" w:hAnsi="Avenir Next"/>
                <w:sz w:val="18"/>
                <w:szCs w:val="18"/>
              </w:rPr>
              <w:t xml:space="preserve"> de la population </w:t>
            </w:r>
            <w:proofErr w:type="spellStart"/>
            <w:r w:rsidR="00BB16B1" w:rsidRPr="008F41F6">
              <w:rPr>
                <w:rFonts w:ascii="Avenir Next" w:hAnsi="Avenir Next"/>
                <w:sz w:val="18"/>
                <w:szCs w:val="18"/>
              </w:rPr>
              <w:t>est</w:t>
            </w:r>
            <w:proofErr w:type="spellEnd"/>
            <w:r w:rsidR="00BB16B1" w:rsidRPr="008F41F6">
              <w:rPr>
                <w:rFonts w:ascii="Avenir Next" w:hAnsi="Avenir Next"/>
                <w:sz w:val="18"/>
                <w:szCs w:val="18"/>
              </w:rPr>
              <w:t xml:space="preserve"> </w:t>
            </w:r>
            <w:proofErr w:type="spellStart"/>
            <w:r w:rsidRPr="008F41F6">
              <w:rPr>
                <w:rFonts w:ascii="Avenir Next" w:hAnsi="Avenir Next"/>
                <w:sz w:val="18"/>
                <w:szCs w:val="18"/>
              </w:rPr>
              <w:t>très</w:t>
            </w:r>
            <w:proofErr w:type="spellEnd"/>
            <w:r w:rsidR="00BB16B1" w:rsidRPr="008F41F6">
              <w:rPr>
                <w:rFonts w:ascii="Avenir Next" w:hAnsi="Avenir Next"/>
                <w:sz w:val="18"/>
                <w:szCs w:val="18"/>
              </w:rPr>
              <w:t xml:space="preserve"> </w:t>
            </w:r>
            <w:proofErr w:type="spellStart"/>
            <w:r w:rsidR="00BB16B1" w:rsidRPr="008F41F6">
              <w:rPr>
                <w:rFonts w:ascii="Avenir Next" w:hAnsi="Avenir Next"/>
                <w:sz w:val="18"/>
                <w:szCs w:val="18"/>
              </w:rPr>
              <w:t>faible</w:t>
            </w:r>
            <w:proofErr w:type="spellEnd"/>
            <w:r w:rsidR="00BB16B1" w:rsidRPr="008F41F6">
              <w:rPr>
                <w:rFonts w:ascii="Avenir Next" w:hAnsi="Avenir Next"/>
                <w:sz w:val="18"/>
                <w:szCs w:val="18"/>
              </w:rPr>
              <w:t xml:space="preserve">, on </w:t>
            </w:r>
            <w:proofErr w:type="spellStart"/>
            <w:r w:rsidR="00BB16B1" w:rsidRPr="008F41F6">
              <w:rPr>
                <w:rFonts w:ascii="Avenir Next" w:hAnsi="Avenir Next"/>
                <w:sz w:val="18"/>
                <w:szCs w:val="18"/>
              </w:rPr>
              <w:t>peut</w:t>
            </w:r>
            <w:proofErr w:type="spellEnd"/>
            <w:r w:rsidR="00BB16B1" w:rsidRPr="008F41F6">
              <w:rPr>
                <w:rFonts w:ascii="Avenir Next" w:hAnsi="Avenir Next"/>
                <w:sz w:val="18"/>
                <w:szCs w:val="18"/>
              </w:rPr>
              <w:t xml:space="preserve"> </w:t>
            </w:r>
            <w:proofErr w:type="spellStart"/>
            <w:r w:rsidR="00BB16B1" w:rsidRPr="008F41F6">
              <w:rPr>
                <w:rFonts w:ascii="Avenir Next" w:hAnsi="Avenir Next"/>
                <w:sz w:val="18"/>
                <w:szCs w:val="18"/>
              </w:rPr>
              <w:t>aussi</w:t>
            </w:r>
            <w:proofErr w:type="spellEnd"/>
            <w:r w:rsidR="00BB16B1" w:rsidRPr="008F41F6">
              <w:rPr>
                <w:rFonts w:ascii="Avenir Next" w:hAnsi="Avenir Next"/>
                <w:sz w:val="18"/>
                <w:szCs w:val="18"/>
              </w:rPr>
              <w:t xml:space="preserve"> changer les </w:t>
            </w:r>
            <w:proofErr w:type="spellStart"/>
            <w:r w:rsidR="00BB16B1" w:rsidRPr="008F41F6">
              <w:rPr>
                <w:rFonts w:ascii="Avenir Next" w:hAnsi="Avenir Next"/>
                <w:sz w:val="18"/>
                <w:szCs w:val="18"/>
              </w:rPr>
              <w:t>unités</w:t>
            </w:r>
            <w:proofErr w:type="spellEnd"/>
            <w:r w:rsidR="00BB16B1" w:rsidRPr="008F41F6">
              <w:rPr>
                <w:rFonts w:ascii="Avenir Next" w:hAnsi="Avenir Next"/>
                <w:sz w:val="18"/>
                <w:szCs w:val="18"/>
              </w:rPr>
              <w:t xml:space="preserve"> en </w:t>
            </w:r>
            <w:proofErr w:type="spellStart"/>
            <w:r w:rsidR="00BB16B1" w:rsidRPr="008F41F6">
              <w:rPr>
                <w:rFonts w:ascii="Avenir Next" w:hAnsi="Avenir Next"/>
                <w:sz w:val="18"/>
                <w:szCs w:val="18"/>
              </w:rPr>
              <w:t>pourmilles</w:t>
            </w:r>
            <w:proofErr w:type="spellEnd"/>
            <w:r w:rsidR="00BB16B1" w:rsidRPr="008F41F6">
              <w:rPr>
                <w:rFonts w:ascii="Avenir Next" w:hAnsi="Avenir Next"/>
                <w:sz w:val="18"/>
                <w:szCs w:val="18"/>
              </w:rPr>
              <w:t xml:space="preserve"> (</w:t>
            </w:r>
            <w:proofErr w:type="spellStart"/>
            <w:r w:rsidR="00BB16B1" w:rsidRPr="008F41F6">
              <w:rPr>
                <w:rFonts w:ascii="Avenir Next" w:hAnsi="Avenir Next"/>
                <w:sz w:val="18"/>
                <w:szCs w:val="18"/>
              </w:rPr>
              <w:t>donc</w:t>
            </w:r>
            <w:proofErr w:type="spellEnd"/>
            <w:r w:rsidR="00BB16B1" w:rsidRPr="008F41F6">
              <w:rPr>
                <w:rFonts w:ascii="Avenir Next" w:hAnsi="Avenir Next"/>
                <w:sz w:val="18"/>
                <w:szCs w:val="18"/>
              </w:rPr>
              <w:t xml:space="preserve"> </w:t>
            </w:r>
            <w:proofErr w:type="spellStart"/>
            <w:r w:rsidR="00BB16B1" w:rsidRPr="008F41F6">
              <w:rPr>
                <w:rFonts w:ascii="Avenir Next" w:hAnsi="Avenir Next"/>
                <w:sz w:val="18"/>
                <w:szCs w:val="18"/>
              </w:rPr>
              <w:t>multipler</w:t>
            </w:r>
            <w:proofErr w:type="spellEnd"/>
            <w:r w:rsidR="00BB16B1" w:rsidRPr="008F41F6">
              <w:rPr>
                <w:rFonts w:ascii="Avenir Next" w:hAnsi="Avenir Next"/>
                <w:sz w:val="18"/>
                <w:szCs w:val="18"/>
              </w:rPr>
              <w:t xml:space="preserve"> la </w:t>
            </w:r>
            <w:proofErr w:type="spellStart"/>
            <w:r w:rsidR="00BB16B1" w:rsidRPr="008F41F6">
              <w:rPr>
                <w:rFonts w:ascii="Avenir Next" w:hAnsi="Avenir Next"/>
                <w:sz w:val="18"/>
                <w:szCs w:val="18"/>
              </w:rPr>
              <w:t>valeur</w:t>
            </w:r>
            <w:proofErr w:type="spellEnd"/>
            <w:r w:rsidR="00BB16B1" w:rsidRPr="008F41F6">
              <w:rPr>
                <w:rFonts w:ascii="Avenir Next" w:hAnsi="Avenir Next"/>
                <w:sz w:val="18"/>
                <w:szCs w:val="18"/>
              </w:rPr>
              <w:t xml:space="preserve"> en </w:t>
            </w:r>
            <w:proofErr w:type="spellStart"/>
            <w:r w:rsidR="00BB16B1" w:rsidRPr="008F41F6">
              <w:rPr>
                <w:rFonts w:ascii="Avenir Next" w:hAnsi="Avenir Next"/>
                <w:sz w:val="18"/>
                <w:szCs w:val="18"/>
              </w:rPr>
              <w:t>pourcentage</w:t>
            </w:r>
            <w:proofErr w:type="spellEnd"/>
            <w:r w:rsidR="00BB16B1" w:rsidRPr="008F41F6">
              <w:rPr>
                <w:rFonts w:ascii="Avenir Next" w:hAnsi="Avenir Next"/>
                <w:sz w:val="18"/>
                <w:szCs w:val="18"/>
              </w:rPr>
              <w:t xml:space="preserve"> par 10).</w:t>
            </w:r>
          </w:p>
        </w:tc>
      </w:tr>
      <w:tr w:rsidR="00A4180E" w:rsidRPr="008F41F6" w14:paraId="201CF794" w14:textId="77777777" w:rsidTr="008F41F6">
        <w:tblPrEx>
          <w:shd w:val="clear" w:color="auto" w:fill="auto"/>
        </w:tblPrEx>
        <w:trPr>
          <w:trHeight w:val="2160"/>
        </w:trPr>
        <w:tc>
          <w:tcPr>
            <w:tcW w:w="2056" w:type="dxa"/>
            <w:tcBorders>
              <w:top w:val="nil"/>
              <w:left w:val="nil"/>
              <w:bottom w:val="nil"/>
              <w:right w:val="nil"/>
            </w:tcBorders>
            <w:shd w:val="clear" w:color="auto" w:fill="EEEEEE"/>
            <w:tcMar>
              <w:top w:w="80" w:type="dxa"/>
              <w:left w:w="80" w:type="dxa"/>
              <w:bottom w:w="80" w:type="dxa"/>
              <w:right w:w="80" w:type="dxa"/>
            </w:tcMar>
          </w:tcPr>
          <w:p w14:paraId="54956BC4" w14:textId="77777777" w:rsidR="00A4180E" w:rsidRPr="008F41F6" w:rsidRDefault="00BB16B1">
            <w:pPr>
              <w:pStyle w:val="TableStyle2"/>
              <w:rPr>
                <w:sz w:val="18"/>
                <w:szCs w:val="18"/>
              </w:rPr>
            </w:pPr>
            <w:r w:rsidRPr="008F41F6">
              <w:rPr>
                <w:rFonts w:ascii="Avenir Next" w:hAnsi="Avenir Next"/>
                <w:sz w:val="18"/>
                <w:szCs w:val="18"/>
              </w:rPr>
              <w:t xml:space="preserve">Rapport de </w:t>
            </w:r>
            <w:proofErr w:type="spellStart"/>
            <w:r w:rsidRPr="008F41F6">
              <w:rPr>
                <w:rFonts w:ascii="Avenir Next" w:hAnsi="Avenir Next"/>
                <w:sz w:val="18"/>
                <w:szCs w:val="18"/>
              </w:rPr>
              <w:t>dépendance</w:t>
            </w:r>
            <w:proofErr w:type="spellEnd"/>
          </w:p>
        </w:tc>
        <w:tc>
          <w:tcPr>
            <w:tcW w:w="2491" w:type="dxa"/>
            <w:tcBorders>
              <w:top w:val="nil"/>
              <w:left w:val="nil"/>
              <w:bottom w:val="nil"/>
              <w:right w:val="nil"/>
            </w:tcBorders>
            <w:shd w:val="clear" w:color="auto" w:fill="EEEEEE"/>
            <w:tcMar>
              <w:top w:w="80" w:type="dxa"/>
              <w:left w:w="80" w:type="dxa"/>
              <w:bottom w:w="80" w:type="dxa"/>
              <w:right w:w="80" w:type="dxa"/>
            </w:tcMar>
          </w:tcPr>
          <w:p w14:paraId="035415F3" w14:textId="77777777" w:rsidR="00A4180E" w:rsidRPr="008F41F6" w:rsidRDefault="00BB16B1">
            <w:pPr>
              <w:pStyle w:val="TableStyle2"/>
              <w:rPr>
                <w:sz w:val="18"/>
                <w:szCs w:val="18"/>
              </w:rPr>
            </w:pPr>
            <w:r w:rsidRPr="008F41F6">
              <w:rPr>
                <w:rFonts w:ascii="Avenir Next" w:hAnsi="Avenir Next"/>
                <w:sz w:val="18"/>
                <w:szCs w:val="18"/>
              </w:rPr>
              <w:t xml:space="preserve"> 100 * (Population 0-15ans + Population 65 </w:t>
            </w:r>
            <w:proofErr w:type="spellStart"/>
            <w:r w:rsidRPr="008F41F6">
              <w:rPr>
                <w:rFonts w:ascii="Avenir Next" w:hAnsi="Avenir Next"/>
                <w:sz w:val="18"/>
                <w:szCs w:val="18"/>
              </w:rPr>
              <w:t>ans</w:t>
            </w:r>
            <w:proofErr w:type="spellEnd"/>
            <w:r w:rsidRPr="008F41F6">
              <w:rPr>
                <w:rFonts w:ascii="Avenir Next" w:hAnsi="Avenir Next"/>
                <w:sz w:val="18"/>
                <w:szCs w:val="18"/>
              </w:rPr>
              <w:t xml:space="preserve"> et plus) / Population 15-64 </w:t>
            </w:r>
            <w:proofErr w:type="spellStart"/>
            <w:r w:rsidRPr="008F41F6">
              <w:rPr>
                <w:rFonts w:ascii="Avenir Next" w:hAnsi="Avenir Next"/>
                <w:sz w:val="18"/>
                <w:szCs w:val="18"/>
              </w:rPr>
              <w:t>ans</w:t>
            </w:r>
            <w:proofErr w:type="spellEnd"/>
          </w:p>
        </w:tc>
        <w:tc>
          <w:tcPr>
            <w:tcW w:w="3897" w:type="dxa"/>
            <w:tcBorders>
              <w:top w:val="nil"/>
              <w:left w:val="nil"/>
              <w:bottom w:val="nil"/>
              <w:right w:val="nil"/>
            </w:tcBorders>
            <w:shd w:val="clear" w:color="auto" w:fill="EEEEEE"/>
            <w:tcMar>
              <w:top w:w="80" w:type="dxa"/>
              <w:left w:w="80" w:type="dxa"/>
              <w:bottom w:w="80" w:type="dxa"/>
              <w:right w:w="80" w:type="dxa"/>
            </w:tcMar>
          </w:tcPr>
          <w:p w14:paraId="4BDAB34A" w14:textId="77777777" w:rsidR="00A4180E" w:rsidRPr="008F41F6" w:rsidRDefault="00BB16B1">
            <w:pPr>
              <w:pStyle w:val="TableStyle2"/>
              <w:rPr>
                <w:sz w:val="18"/>
                <w:szCs w:val="18"/>
              </w:rPr>
            </w:pPr>
            <w:r w:rsidRPr="008F41F6">
              <w:rPr>
                <w:rFonts w:ascii="Avenir Next" w:hAnsi="Avenir Next"/>
                <w:sz w:val="18"/>
                <w:szCs w:val="18"/>
              </w:rPr>
              <w:t xml:space="preserve">Le rapport de </w:t>
            </w:r>
            <w:proofErr w:type="spellStart"/>
            <w:r w:rsidRPr="008F41F6">
              <w:rPr>
                <w:rFonts w:ascii="Avenir Next" w:hAnsi="Avenir Next"/>
                <w:sz w:val="18"/>
                <w:szCs w:val="18"/>
              </w:rPr>
              <w:t>dépendance</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mesure</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combien</w:t>
            </w:r>
            <w:proofErr w:type="spellEnd"/>
            <w:r w:rsidRPr="008F41F6">
              <w:rPr>
                <w:rFonts w:ascii="Avenir Next" w:hAnsi="Avenir Next"/>
                <w:sz w:val="18"/>
                <w:szCs w:val="18"/>
              </w:rPr>
              <w:t xml:space="preserve"> de </w:t>
            </w:r>
            <w:proofErr w:type="spellStart"/>
            <w:r w:rsidRPr="008F41F6">
              <w:rPr>
                <w:rFonts w:ascii="Avenir Next" w:hAnsi="Avenir Next"/>
                <w:sz w:val="18"/>
                <w:szCs w:val="18"/>
              </w:rPr>
              <w:t>personnes</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dans</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une</w:t>
            </w:r>
            <w:proofErr w:type="spellEnd"/>
            <w:r w:rsidRPr="008F41F6">
              <w:rPr>
                <w:rFonts w:ascii="Avenir Next" w:hAnsi="Avenir Next"/>
                <w:sz w:val="18"/>
                <w:szCs w:val="18"/>
              </w:rPr>
              <w:t xml:space="preserve"> tranche </w:t>
            </w:r>
            <w:proofErr w:type="spellStart"/>
            <w:r w:rsidRPr="008F41F6">
              <w:rPr>
                <w:rFonts w:ascii="Avenir Next" w:hAnsi="Avenir Next"/>
                <w:sz w:val="18"/>
                <w:szCs w:val="18"/>
              </w:rPr>
              <w:t>d'âge</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avant</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ou</w:t>
            </w:r>
            <w:proofErr w:type="spellEnd"/>
            <w:r w:rsidRPr="008F41F6">
              <w:rPr>
                <w:rFonts w:ascii="Avenir Next" w:hAnsi="Avenir Next"/>
                <w:sz w:val="18"/>
                <w:szCs w:val="18"/>
              </w:rPr>
              <w:t xml:space="preserve"> après </w:t>
            </w:r>
            <w:proofErr w:type="spellStart"/>
            <w:r w:rsidRPr="008F41F6">
              <w:rPr>
                <w:rFonts w:ascii="Avenir Next" w:hAnsi="Avenir Next"/>
                <w:sz w:val="18"/>
                <w:szCs w:val="18"/>
              </w:rPr>
              <w:t>une</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activité</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professionnelle</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potentielle</w:t>
            </w:r>
            <w:proofErr w:type="spellEnd"/>
            <w:r w:rsidRPr="008F41F6">
              <w:rPr>
                <w:rFonts w:ascii="Avenir Next" w:hAnsi="Avenir Next"/>
                <w:sz w:val="18"/>
                <w:szCs w:val="18"/>
              </w:rPr>
              <w:t xml:space="preserve">. Le rapport de </w:t>
            </w:r>
            <w:proofErr w:type="spellStart"/>
            <w:r w:rsidRPr="008F41F6">
              <w:rPr>
                <w:rFonts w:ascii="Avenir Next" w:hAnsi="Avenir Next"/>
                <w:sz w:val="18"/>
                <w:szCs w:val="18"/>
              </w:rPr>
              <w:t>dépendance</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n'a</w:t>
            </w:r>
            <w:proofErr w:type="spellEnd"/>
            <w:r w:rsidRPr="008F41F6">
              <w:rPr>
                <w:rFonts w:ascii="Avenir Next" w:hAnsi="Avenir Next"/>
                <w:sz w:val="18"/>
                <w:szCs w:val="18"/>
              </w:rPr>
              <w:t xml:space="preserve"> pas </w:t>
            </w:r>
            <w:proofErr w:type="spellStart"/>
            <w:r w:rsidRPr="008F41F6">
              <w:rPr>
                <w:rFonts w:ascii="Avenir Next" w:hAnsi="Avenir Next"/>
                <w:sz w:val="18"/>
                <w:szCs w:val="18"/>
              </w:rPr>
              <w:t>d'unité</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ce</w:t>
            </w:r>
            <w:proofErr w:type="spellEnd"/>
            <w:r w:rsidRPr="008F41F6">
              <w:rPr>
                <w:rFonts w:ascii="Avenir Next" w:hAnsi="Avenir Next"/>
                <w:sz w:val="18"/>
                <w:szCs w:val="18"/>
              </w:rPr>
              <w:t xml:space="preserve"> ne </w:t>
            </w:r>
            <w:proofErr w:type="spellStart"/>
            <w:r w:rsidRPr="008F41F6">
              <w:rPr>
                <w:rFonts w:ascii="Avenir Next" w:hAnsi="Avenir Next"/>
                <w:sz w:val="18"/>
                <w:szCs w:val="18"/>
              </w:rPr>
              <w:t>sont</w:t>
            </w:r>
            <w:proofErr w:type="spellEnd"/>
            <w:r w:rsidRPr="008F41F6">
              <w:rPr>
                <w:rFonts w:ascii="Avenir Next" w:hAnsi="Avenir Next"/>
                <w:sz w:val="18"/>
                <w:szCs w:val="18"/>
              </w:rPr>
              <w:t xml:space="preserve"> pas des </w:t>
            </w:r>
            <w:proofErr w:type="spellStart"/>
            <w:r w:rsidRPr="008F41F6">
              <w:rPr>
                <w:rFonts w:ascii="Avenir Next" w:hAnsi="Avenir Next"/>
                <w:sz w:val="18"/>
                <w:szCs w:val="18"/>
              </w:rPr>
              <w:t>pourcentages</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Une</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valeur</w:t>
            </w:r>
            <w:proofErr w:type="spellEnd"/>
            <w:r w:rsidRPr="008F41F6">
              <w:rPr>
                <w:rFonts w:ascii="Avenir Next" w:hAnsi="Avenir Next"/>
                <w:sz w:val="18"/>
                <w:szCs w:val="18"/>
              </w:rPr>
              <w:t xml:space="preserve"> de 50 </w:t>
            </w:r>
            <w:proofErr w:type="spellStart"/>
            <w:r w:rsidRPr="008F41F6">
              <w:rPr>
                <w:rFonts w:ascii="Avenir Next" w:hAnsi="Avenir Next"/>
                <w:sz w:val="18"/>
                <w:szCs w:val="18"/>
              </w:rPr>
              <w:t>veut</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p.ex</w:t>
            </w:r>
            <w:proofErr w:type="spellEnd"/>
            <w:r w:rsidRPr="008F41F6">
              <w:rPr>
                <w:rFonts w:ascii="Avenir Next" w:hAnsi="Avenir Next"/>
                <w:sz w:val="18"/>
                <w:szCs w:val="18"/>
              </w:rPr>
              <w:t xml:space="preserve">. </w:t>
            </w:r>
            <w:proofErr w:type="gramStart"/>
            <w:r w:rsidRPr="008F41F6">
              <w:rPr>
                <w:rFonts w:ascii="Avenir Next" w:hAnsi="Avenir Next"/>
                <w:sz w:val="18"/>
                <w:szCs w:val="18"/>
              </w:rPr>
              <w:t>dire</w:t>
            </w:r>
            <w:proofErr w:type="gramEnd"/>
            <w:r w:rsidRPr="008F41F6">
              <w:rPr>
                <w:rFonts w:ascii="Avenir Next" w:hAnsi="Avenir Next"/>
                <w:sz w:val="18"/>
                <w:szCs w:val="18"/>
              </w:rPr>
              <w:t xml:space="preserve"> </w:t>
            </w:r>
            <w:proofErr w:type="spellStart"/>
            <w:r w:rsidRPr="008F41F6">
              <w:rPr>
                <w:rFonts w:ascii="Avenir Next" w:hAnsi="Avenir Next"/>
                <w:sz w:val="18"/>
                <w:szCs w:val="18"/>
              </w:rPr>
              <w:t>qu'il</w:t>
            </w:r>
            <w:proofErr w:type="spellEnd"/>
            <w:r w:rsidRPr="008F41F6">
              <w:rPr>
                <w:rFonts w:ascii="Avenir Next" w:hAnsi="Avenir Next"/>
                <w:sz w:val="18"/>
                <w:szCs w:val="18"/>
              </w:rPr>
              <w:t xml:space="preserve"> y 2 </w:t>
            </w:r>
            <w:proofErr w:type="spellStart"/>
            <w:r w:rsidRPr="008F41F6">
              <w:rPr>
                <w:rFonts w:ascii="Avenir Next" w:hAnsi="Avenir Next"/>
                <w:sz w:val="18"/>
                <w:szCs w:val="18"/>
              </w:rPr>
              <w:t>personnes</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potentiellement</w:t>
            </w:r>
            <w:proofErr w:type="spellEnd"/>
            <w:r w:rsidRPr="008F41F6">
              <w:rPr>
                <w:rFonts w:ascii="Avenir Next" w:hAnsi="Avenir Next"/>
                <w:sz w:val="18"/>
                <w:szCs w:val="18"/>
              </w:rPr>
              <w:t xml:space="preserve"> active pour 1 </w:t>
            </w:r>
            <w:proofErr w:type="spellStart"/>
            <w:r w:rsidRPr="008F41F6">
              <w:rPr>
                <w:rFonts w:ascii="Avenir Next" w:hAnsi="Avenir Next"/>
                <w:sz w:val="18"/>
                <w:szCs w:val="18"/>
              </w:rPr>
              <w:t>personne</w:t>
            </w:r>
            <w:proofErr w:type="spellEnd"/>
            <w:r w:rsidRPr="008F41F6">
              <w:rPr>
                <w:rFonts w:ascii="Avenir Next" w:hAnsi="Avenir Next"/>
                <w:sz w:val="18"/>
                <w:szCs w:val="18"/>
              </w:rPr>
              <w:t xml:space="preserve"> en </w:t>
            </w:r>
            <w:proofErr w:type="spellStart"/>
            <w:r w:rsidRPr="008F41F6">
              <w:rPr>
                <w:rFonts w:ascii="Avenir Next" w:hAnsi="Avenir Next"/>
                <w:sz w:val="18"/>
                <w:szCs w:val="18"/>
              </w:rPr>
              <w:t>dehors</w:t>
            </w:r>
            <w:proofErr w:type="spellEnd"/>
            <w:r w:rsidRPr="008F41F6">
              <w:rPr>
                <w:rFonts w:ascii="Avenir Next" w:hAnsi="Avenir Next"/>
                <w:sz w:val="18"/>
                <w:szCs w:val="18"/>
              </w:rPr>
              <w:t xml:space="preserve"> de la tranche </w:t>
            </w:r>
            <w:proofErr w:type="spellStart"/>
            <w:r w:rsidRPr="008F41F6">
              <w:rPr>
                <w:rFonts w:ascii="Avenir Next" w:hAnsi="Avenir Next"/>
                <w:sz w:val="18"/>
                <w:szCs w:val="18"/>
              </w:rPr>
              <w:t>d'âge</w:t>
            </w:r>
            <w:proofErr w:type="spellEnd"/>
            <w:r w:rsidRPr="008F41F6">
              <w:rPr>
                <w:rFonts w:ascii="Avenir Next" w:hAnsi="Avenir Next"/>
                <w:sz w:val="18"/>
                <w:szCs w:val="18"/>
              </w:rPr>
              <w:t xml:space="preserve"> des </w:t>
            </w:r>
            <w:proofErr w:type="spellStart"/>
            <w:r w:rsidRPr="008F41F6">
              <w:rPr>
                <w:rFonts w:ascii="Avenir Next" w:hAnsi="Avenir Next"/>
                <w:sz w:val="18"/>
                <w:szCs w:val="18"/>
              </w:rPr>
              <w:t>actifs</w:t>
            </w:r>
            <w:proofErr w:type="spellEnd"/>
            <w:r w:rsidRPr="008F41F6">
              <w:rPr>
                <w:rFonts w:ascii="Avenir Next" w:hAnsi="Avenir Next"/>
                <w:sz w:val="18"/>
                <w:szCs w:val="18"/>
              </w:rPr>
              <w:t>.</w:t>
            </w:r>
          </w:p>
        </w:tc>
      </w:tr>
      <w:tr w:rsidR="00A4180E" w:rsidRPr="008F41F6" w14:paraId="12887B3F" w14:textId="77777777" w:rsidTr="008F41F6">
        <w:tblPrEx>
          <w:shd w:val="clear" w:color="auto" w:fill="auto"/>
        </w:tblPrEx>
        <w:trPr>
          <w:trHeight w:val="480"/>
        </w:trPr>
        <w:tc>
          <w:tcPr>
            <w:tcW w:w="2056" w:type="dxa"/>
            <w:tcBorders>
              <w:top w:val="nil"/>
              <w:left w:val="nil"/>
              <w:bottom w:val="nil"/>
              <w:right w:val="nil"/>
            </w:tcBorders>
            <w:shd w:val="clear" w:color="auto" w:fill="auto"/>
            <w:tcMar>
              <w:top w:w="80" w:type="dxa"/>
              <w:left w:w="80" w:type="dxa"/>
              <w:bottom w:w="80" w:type="dxa"/>
              <w:right w:w="80" w:type="dxa"/>
            </w:tcMar>
          </w:tcPr>
          <w:p w14:paraId="12529D25" w14:textId="77777777" w:rsidR="00A4180E" w:rsidRPr="008F41F6" w:rsidRDefault="00BB16B1">
            <w:pPr>
              <w:pStyle w:val="TableStyle2"/>
              <w:rPr>
                <w:sz w:val="18"/>
                <w:szCs w:val="18"/>
              </w:rPr>
            </w:pPr>
            <w:r w:rsidRPr="008F41F6">
              <w:rPr>
                <w:rFonts w:ascii="Avenir Next" w:hAnsi="Avenir Next"/>
                <w:sz w:val="18"/>
                <w:szCs w:val="18"/>
              </w:rPr>
              <w:t xml:space="preserve">Part de la population </w:t>
            </w:r>
            <w:proofErr w:type="spellStart"/>
            <w:r w:rsidRPr="008F41F6">
              <w:rPr>
                <w:rFonts w:ascii="Avenir Next" w:hAnsi="Avenir Next"/>
                <w:sz w:val="18"/>
                <w:szCs w:val="18"/>
              </w:rPr>
              <w:t>très</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âgée</w:t>
            </w:r>
            <w:proofErr w:type="spellEnd"/>
          </w:p>
        </w:tc>
        <w:tc>
          <w:tcPr>
            <w:tcW w:w="2491" w:type="dxa"/>
            <w:tcBorders>
              <w:top w:val="nil"/>
              <w:left w:val="nil"/>
              <w:bottom w:val="nil"/>
              <w:right w:val="nil"/>
            </w:tcBorders>
            <w:shd w:val="clear" w:color="auto" w:fill="auto"/>
            <w:tcMar>
              <w:top w:w="80" w:type="dxa"/>
              <w:left w:w="80" w:type="dxa"/>
              <w:bottom w:w="80" w:type="dxa"/>
              <w:right w:w="80" w:type="dxa"/>
            </w:tcMar>
          </w:tcPr>
          <w:p w14:paraId="066346A6" w14:textId="77777777" w:rsidR="00A4180E" w:rsidRPr="008F41F6" w:rsidRDefault="00BB16B1">
            <w:pPr>
              <w:pStyle w:val="TableStyle2"/>
              <w:rPr>
                <w:sz w:val="18"/>
                <w:szCs w:val="18"/>
              </w:rPr>
            </w:pPr>
            <w:r w:rsidRPr="008F41F6">
              <w:rPr>
                <w:rFonts w:ascii="Avenir Next" w:hAnsi="Avenir Next"/>
                <w:sz w:val="18"/>
                <w:szCs w:val="18"/>
              </w:rPr>
              <w:t xml:space="preserve">Population 85+ / Population </w:t>
            </w:r>
            <w:proofErr w:type="spellStart"/>
            <w:r w:rsidRPr="008F41F6">
              <w:rPr>
                <w:rFonts w:ascii="Avenir Next" w:hAnsi="Avenir Next"/>
                <w:sz w:val="18"/>
                <w:szCs w:val="18"/>
              </w:rPr>
              <w:t>totale</w:t>
            </w:r>
            <w:proofErr w:type="spellEnd"/>
            <w:r w:rsidRPr="008F41F6">
              <w:rPr>
                <w:rFonts w:ascii="Avenir Next" w:hAnsi="Avenir Next"/>
                <w:sz w:val="18"/>
                <w:szCs w:val="18"/>
              </w:rPr>
              <w:t xml:space="preserve"> * 100</w:t>
            </w:r>
          </w:p>
        </w:tc>
        <w:tc>
          <w:tcPr>
            <w:tcW w:w="3897" w:type="dxa"/>
            <w:tcBorders>
              <w:top w:val="nil"/>
              <w:left w:val="nil"/>
              <w:bottom w:val="nil"/>
              <w:right w:val="nil"/>
            </w:tcBorders>
            <w:shd w:val="clear" w:color="auto" w:fill="auto"/>
            <w:tcMar>
              <w:top w:w="80" w:type="dxa"/>
              <w:left w:w="80" w:type="dxa"/>
              <w:bottom w:w="80" w:type="dxa"/>
              <w:right w:w="80" w:type="dxa"/>
            </w:tcMar>
          </w:tcPr>
          <w:p w14:paraId="2999F63E" w14:textId="77777777" w:rsidR="00A4180E" w:rsidRPr="008F41F6" w:rsidRDefault="00BB16B1">
            <w:pPr>
              <w:pStyle w:val="TableStyle2"/>
              <w:rPr>
                <w:sz w:val="18"/>
                <w:szCs w:val="18"/>
              </w:rPr>
            </w:pPr>
            <w:r w:rsidRPr="008F41F6">
              <w:rPr>
                <w:rFonts w:ascii="Avenir Next" w:hAnsi="Avenir Next"/>
                <w:sz w:val="18"/>
                <w:szCs w:val="18"/>
              </w:rPr>
              <w:t xml:space="preserve">En </w:t>
            </w:r>
            <w:proofErr w:type="spellStart"/>
            <w:r w:rsidRPr="008F41F6">
              <w:rPr>
                <w:rFonts w:ascii="Avenir Next" w:hAnsi="Avenir Next"/>
                <w:sz w:val="18"/>
                <w:szCs w:val="18"/>
              </w:rPr>
              <w:t>pourcentages</w:t>
            </w:r>
            <w:proofErr w:type="spellEnd"/>
          </w:p>
        </w:tc>
      </w:tr>
      <w:tr w:rsidR="00A4180E" w:rsidRPr="008F41F6" w14:paraId="6AAA3B91" w14:textId="77777777" w:rsidTr="008F41F6">
        <w:tblPrEx>
          <w:shd w:val="clear" w:color="auto" w:fill="auto"/>
        </w:tblPrEx>
        <w:trPr>
          <w:trHeight w:val="1200"/>
        </w:trPr>
        <w:tc>
          <w:tcPr>
            <w:tcW w:w="2056" w:type="dxa"/>
            <w:tcBorders>
              <w:top w:val="nil"/>
              <w:left w:val="nil"/>
              <w:bottom w:val="nil"/>
              <w:right w:val="nil"/>
            </w:tcBorders>
            <w:shd w:val="clear" w:color="auto" w:fill="EEEEEE"/>
            <w:tcMar>
              <w:top w:w="80" w:type="dxa"/>
              <w:left w:w="80" w:type="dxa"/>
              <w:bottom w:w="80" w:type="dxa"/>
              <w:right w:w="80" w:type="dxa"/>
            </w:tcMar>
          </w:tcPr>
          <w:p w14:paraId="18ECE7BF" w14:textId="77777777" w:rsidR="00A4180E" w:rsidRPr="008F41F6" w:rsidRDefault="00BB16B1">
            <w:pPr>
              <w:pStyle w:val="TableStyle2"/>
              <w:rPr>
                <w:sz w:val="18"/>
                <w:szCs w:val="18"/>
              </w:rPr>
            </w:pPr>
            <w:r w:rsidRPr="008F41F6">
              <w:rPr>
                <w:rFonts w:ascii="Avenir Next" w:hAnsi="Avenir Next"/>
                <w:sz w:val="18"/>
                <w:szCs w:val="18"/>
              </w:rPr>
              <w:t xml:space="preserve">Ratio </w:t>
            </w:r>
            <w:proofErr w:type="spellStart"/>
            <w:r w:rsidRPr="008F41F6">
              <w:rPr>
                <w:rFonts w:ascii="Avenir Next" w:hAnsi="Avenir Next"/>
                <w:sz w:val="18"/>
                <w:szCs w:val="18"/>
              </w:rPr>
              <w:t>jeunes</w:t>
            </w:r>
            <w:proofErr w:type="spellEnd"/>
            <w:r w:rsidRPr="008F41F6">
              <w:rPr>
                <w:rFonts w:ascii="Avenir Next" w:hAnsi="Avenir Next"/>
                <w:sz w:val="18"/>
                <w:szCs w:val="18"/>
              </w:rPr>
              <w:t xml:space="preserve"> / </w:t>
            </w:r>
            <w:proofErr w:type="spellStart"/>
            <w:r w:rsidRPr="008F41F6">
              <w:rPr>
                <w:rFonts w:ascii="Avenir Next" w:hAnsi="Avenir Next"/>
                <w:sz w:val="18"/>
                <w:szCs w:val="18"/>
              </w:rPr>
              <w:t>vieux</w:t>
            </w:r>
            <w:proofErr w:type="spellEnd"/>
          </w:p>
        </w:tc>
        <w:tc>
          <w:tcPr>
            <w:tcW w:w="2491" w:type="dxa"/>
            <w:tcBorders>
              <w:top w:val="nil"/>
              <w:left w:val="nil"/>
              <w:bottom w:val="nil"/>
              <w:right w:val="nil"/>
            </w:tcBorders>
            <w:shd w:val="clear" w:color="auto" w:fill="EEEEEE"/>
            <w:tcMar>
              <w:top w:w="80" w:type="dxa"/>
              <w:left w:w="80" w:type="dxa"/>
              <w:bottom w:w="80" w:type="dxa"/>
              <w:right w:w="80" w:type="dxa"/>
            </w:tcMar>
          </w:tcPr>
          <w:p w14:paraId="53834548" w14:textId="77777777" w:rsidR="00A4180E" w:rsidRPr="008F41F6" w:rsidRDefault="00BB16B1">
            <w:pPr>
              <w:pStyle w:val="TableStyle2"/>
              <w:rPr>
                <w:sz w:val="18"/>
                <w:szCs w:val="18"/>
              </w:rPr>
            </w:pPr>
            <w:r w:rsidRPr="008F41F6">
              <w:rPr>
                <w:rFonts w:ascii="Avenir Next" w:hAnsi="Avenir Next"/>
                <w:sz w:val="18"/>
                <w:szCs w:val="18"/>
              </w:rPr>
              <w:t>Population 0-14 / Population 65+ * 100</w:t>
            </w:r>
          </w:p>
        </w:tc>
        <w:tc>
          <w:tcPr>
            <w:tcW w:w="3897" w:type="dxa"/>
            <w:tcBorders>
              <w:top w:val="nil"/>
              <w:left w:val="nil"/>
              <w:bottom w:val="nil"/>
              <w:right w:val="nil"/>
            </w:tcBorders>
            <w:shd w:val="clear" w:color="auto" w:fill="EEEEEE"/>
            <w:tcMar>
              <w:top w:w="80" w:type="dxa"/>
              <w:left w:w="80" w:type="dxa"/>
              <w:bottom w:w="80" w:type="dxa"/>
              <w:right w:w="80" w:type="dxa"/>
            </w:tcMar>
          </w:tcPr>
          <w:p w14:paraId="6E05AC27" w14:textId="77777777" w:rsidR="00A4180E" w:rsidRPr="008F41F6" w:rsidRDefault="00BB16B1">
            <w:pPr>
              <w:pStyle w:val="TableStyle2"/>
              <w:rPr>
                <w:sz w:val="18"/>
                <w:szCs w:val="18"/>
              </w:rPr>
            </w:pPr>
            <w:proofErr w:type="spellStart"/>
            <w:r w:rsidRPr="008F41F6">
              <w:rPr>
                <w:rFonts w:ascii="Avenir Next" w:hAnsi="Avenir Next"/>
                <w:sz w:val="18"/>
                <w:szCs w:val="18"/>
              </w:rPr>
              <w:t>Ce</w:t>
            </w:r>
            <w:proofErr w:type="spellEnd"/>
            <w:r w:rsidRPr="008F41F6">
              <w:rPr>
                <w:rFonts w:ascii="Avenir Next" w:hAnsi="Avenir Next"/>
                <w:sz w:val="18"/>
                <w:szCs w:val="18"/>
              </w:rPr>
              <w:t xml:space="preserve"> ratio </w:t>
            </w:r>
            <w:proofErr w:type="spellStart"/>
            <w:r w:rsidRPr="008F41F6">
              <w:rPr>
                <w:rFonts w:ascii="Avenir Next" w:hAnsi="Avenir Next"/>
                <w:sz w:val="18"/>
                <w:szCs w:val="18"/>
              </w:rPr>
              <w:t>n'a</w:t>
            </w:r>
            <w:proofErr w:type="spellEnd"/>
            <w:r w:rsidRPr="008F41F6">
              <w:rPr>
                <w:rFonts w:ascii="Avenir Next" w:hAnsi="Avenir Next"/>
                <w:sz w:val="18"/>
                <w:szCs w:val="18"/>
              </w:rPr>
              <w:t xml:space="preserve"> pas </w:t>
            </w:r>
            <w:proofErr w:type="spellStart"/>
            <w:r w:rsidRPr="008F41F6">
              <w:rPr>
                <w:rFonts w:ascii="Avenir Next" w:hAnsi="Avenir Next"/>
                <w:sz w:val="18"/>
                <w:szCs w:val="18"/>
              </w:rPr>
              <w:t>d'unité</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il</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n'est</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donc</w:t>
            </w:r>
            <w:proofErr w:type="spellEnd"/>
            <w:r w:rsidRPr="008F41F6">
              <w:rPr>
                <w:rFonts w:ascii="Avenir Next" w:hAnsi="Avenir Next"/>
                <w:sz w:val="18"/>
                <w:szCs w:val="18"/>
              </w:rPr>
              <w:t xml:space="preserve"> pas en </w:t>
            </w:r>
            <w:proofErr w:type="spellStart"/>
            <w:r w:rsidRPr="008F41F6">
              <w:rPr>
                <w:rFonts w:ascii="Avenir Next" w:hAnsi="Avenir Next"/>
                <w:sz w:val="18"/>
                <w:szCs w:val="18"/>
              </w:rPr>
              <w:t>pourcentages</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Une</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valeur</w:t>
            </w:r>
            <w:proofErr w:type="spellEnd"/>
            <w:r w:rsidRPr="008F41F6">
              <w:rPr>
                <w:rFonts w:ascii="Avenir Next" w:hAnsi="Avenir Next"/>
                <w:sz w:val="18"/>
                <w:szCs w:val="18"/>
              </w:rPr>
              <w:t xml:space="preserve"> de 100 </w:t>
            </w:r>
            <w:proofErr w:type="spellStart"/>
            <w:r w:rsidRPr="008F41F6">
              <w:rPr>
                <w:rFonts w:ascii="Avenir Next" w:hAnsi="Avenir Next"/>
                <w:sz w:val="18"/>
                <w:szCs w:val="18"/>
              </w:rPr>
              <w:t>indique</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parité</w:t>
            </w:r>
            <w:proofErr w:type="spellEnd"/>
            <w:r w:rsidRPr="008F41F6">
              <w:rPr>
                <w:rFonts w:ascii="Avenir Next" w:hAnsi="Avenir Next"/>
                <w:sz w:val="18"/>
                <w:szCs w:val="18"/>
              </w:rPr>
              <w:t xml:space="preserve"> entre </w:t>
            </w:r>
            <w:proofErr w:type="spellStart"/>
            <w:r w:rsidRPr="008F41F6">
              <w:rPr>
                <w:rFonts w:ascii="Avenir Next" w:hAnsi="Avenir Next"/>
                <w:sz w:val="18"/>
                <w:szCs w:val="18"/>
              </w:rPr>
              <w:t>jeunes</w:t>
            </w:r>
            <w:proofErr w:type="spellEnd"/>
            <w:r w:rsidRPr="008F41F6">
              <w:rPr>
                <w:rFonts w:ascii="Avenir Next" w:hAnsi="Avenir Next"/>
                <w:sz w:val="18"/>
                <w:szCs w:val="18"/>
              </w:rPr>
              <w:t xml:space="preserve"> et </w:t>
            </w:r>
            <w:proofErr w:type="spellStart"/>
            <w:r w:rsidRPr="008F41F6">
              <w:rPr>
                <w:rFonts w:ascii="Avenir Next" w:hAnsi="Avenir Next"/>
                <w:sz w:val="18"/>
                <w:szCs w:val="18"/>
              </w:rPr>
              <w:t>vieux</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Une</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valeur</w:t>
            </w:r>
            <w:proofErr w:type="spellEnd"/>
            <w:r w:rsidRPr="008F41F6">
              <w:rPr>
                <w:rFonts w:ascii="Avenir Next" w:hAnsi="Avenir Next"/>
                <w:sz w:val="18"/>
                <w:szCs w:val="18"/>
              </w:rPr>
              <w:t xml:space="preserve"> de plus de 100 </w:t>
            </w:r>
            <w:proofErr w:type="spellStart"/>
            <w:r w:rsidRPr="008F41F6">
              <w:rPr>
                <w:rFonts w:ascii="Avenir Next" w:hAnsi="Avenir Next"/>
                <w:sz w:val="18"/>
                <w:szCs w:val="18"/>
              </w:rPr>
              <w:t>indique</w:t>
            </w:r>
            <w:proofErr w:type="spellEnd"/>
            <w:r w:rsidRPr="008F41F6">
              <w:rPr>
                <w:rFonts w:ascii="Avenir Next" w:hAnsi="Avenir Next"/>
                <w:sz w:val="18"/>
                <w:szCs w:val="18"/>
              </w:rPr>
              <w:t xml:space="preserve"> </w:t>
            </w:r>
            <w:proofErr w:type="spellStart"/>
            <w:proofErr w:type="gramStart"/>
            <w:r w:rsidRPr="008F41F6">
              <w:rPr>
                <w:rFonts w:ascii="Avenir Next" w:hAnsi="Avenir Next"/>
                <w:sz w:val="18"/>
                <w:szCs w:val="18"/>
              </w:rPr>
              <w:t>qu'il</w:t>
            </w:r>
            <w:proofErr w:type="spellEnd"/>
            <w:r w:rsidRPr="008F41F6">
              <w:rPr>
                <w:rFonts w:ascii="Avenir Next" w:hAnsi="Avenir Next"/>
                <w:sz w:val="18"/>
                <w:szCs w:val="18"/>
              </w:rPr>
              <w:t xml:space="preserve">  y</w:t>
            </w:r>
            <w:proofErr w:type="gramEnd"/>
            <w:r w:rsidRPr="008F41F6">
              <w:rPr>
                <w:rFonts w:ascii="Avenir Next" w:hAnsi="Avenir Next"/>
                <w:sz w:val="18"/>
                <w:szCs w:val="18"/>
              </w:rPr>
              <w:t xml:space="preserve"> a plus de </w:t>
            </w:r>
            <w:proofErr w:type="spellStart"/>
            <w:r w:rsidRPr="008F41F6">
              <w:rPr>
                <w:rFonts w:ascii="Avenir Next" w:hAnsi="Avenir Next"/>
                <w:sz w:val="18"/>
                <w:szCs w:val="18"/>
              </w:rPr>
              <w:t>jeunes</w:t>
            </w:r>
            <w:proofErr w:type="spellEnd"/>
            <w:r w:rsidRPr="008F41F6">
              <w:rPr>
                <w:rFonts w:ascii="Avenir Next" w:hAnsi="Avenir Next"/>
                <w:sz w:val="18"/>
                <w:szCs w:val="18"/>
              </w:rPr>
              <w:t xml:space="preserve"> </w:t>
            </w:r>
            <w:proofErr w:type="spellStart"/>
            <w:r w:rsidRPr="008F41F6">
              <w:rPr>
                <w:rFonts w:ascii="Avenir Next" w:hAnsi="Avenir Next"/>
                <w:sz w:val="18"/>
                <w:szCs w:val="18"/>
              </w:rPr>
              <w:t>que</w:t>
            </w:r>
            <w:proofErr w:type="spellEnd"/>
            <w:r w:rsidRPr="008F41F6">
              <w:rPr>
                <w:rFonts w:ascii="Avenir Next" w:hAnsi="Avenir Next"/>
                <w:sz w:val="18"/>
                <w:szCs w:val="18"/>
              </w:rPr>
              <w:t xml:space="preserve"> de </w:t>
            </w:r>
            <w:proofErr w:type="spellStart"/>
            <w:r w:rsidRPr="008F41F6">
              <w:rPr>
                <w:rFonts w:ascii="Avenir Next" w:hAnsi="Avenir Next"/>
                <w:sz w:val="18"/>
                <w:szCs w:val="18"/>
              </w:rPr>
              <w:t>vieux</w:t>
            </w:r>
            <w:proofErr w:type="spellEnd"/>
            <w:r w:rsidRPr="008F41F6">
              <w:rPr>
                <w:rFonts w:ascii="Avenir Next" w:hAnsi="Avenir Next"/>
                <w:sz w:val="18"/>
                <w:szCs w:val="18"/>
              </w:rPr>
              <w:t>.</w:t>
            </w:r>
          </w:p>
        </w:tc>
      </w:tr>
    </w:tbl>
    <w:p w14:paraId="0E5B52ED" w14:textId="77777777" w:rsidR="00A4180E" w:rsidRDefault="00A4180E">
      <w:pPr>
        <w:pStyle w:val="Body"/>
      </w:pPr>
    </w:p>
    <w:sectPr w:rsidR="00A4180E">
      <w:footerReference w:type="default" r:id="rId7"/>
      <w:pgSz w:w="11906" w:h="16838"/>
      <w:pgMar w:top="1134" w:right="1134" w:bottom="1417" w:left="1417"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9A14C6" w14:textId="77777777" w:rsidR="000F38A5" w:rsidRDefault="00BB16B1">
      <w:r>
        <w:separator/>
      </w:r>
    </w:p>
  </w:endnote>
  <w:endnote w:type="continuationSeparator" w:id="0">
    <w:p w14:paraId="682FDDBB" w14:textId="77777777" w:rsidR="000F38A5" w:rsidRDefault="00BB1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venir Next">
    <w:altName w:val="Avenir Next Regular"/>
    <w:charset w:val="00"/>
    <w:family w:val="roman"/>
    <w:pitch w:val="default"/>
  </w:font>
  <w:font w:name="Avenir Next Medium">
    <w:panose1 w:val="020B0603020202020204"/>
    <w:charset w:val="00"/>
    <w:family w:val="auto"/>
    <w:pitch w:val="variable"/>
    <w:sig w:usb0="8000002F" w:usb1="5000204A" w:usb2="00000000" w:usb3="00000000" w:csb0="0000009B" w:csb1="00000000"/>
  </w:font>
  <w:font w:name="Avenir Next Demi Bold">
    <w:panose1 w:val="020B07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2BB9D" w14:textId="77E25138" w:rsidR="00A4180E" w:rsidRDefault="00BB16B1">
    <w:pPr>
      <w:pStyle w:val="HeaderFooter"/>
      <w:tabs>
        <w:tab w:val="clear" w:pos="9020"/>
        <w:tab w:val="center" w:pos="4677"/>
        <w:tab w:val="right" w:pos="9354"/>
      </w:tabs>
    </w:pPr>
    <w:r>
      <w:rPr>
        <w:rFonts w:ascii="Avenir Next" w:hAnsi="Avenir Next"/>
        <w:sz w:val="16"/>
        <w:szCs w:val="16"/>
      </w:rPr>
      <w:t>Cartographie &amp; SIG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890265" w14:textId="77777777" w:rsidR="000F38A5" w:rsidRDefault="00BB16B1">
      <w:r>
        <w:separator/>
      </w:r>
    </w:p>
  </w:footnote>
  <w:footnote w:type="continuationSeparator" w:id="0">
    <w:p w14:paraId="1043DD18" w14:textId="77777777" w:rsidR="000F38A5" w:rsidRDefault="00BB16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4180E"/>
    <w:rsid w:val="000B6E7A"/>
    <w:rsid w:val="000F38A5"/>
    <w:rsid w:val="008F41F6"/>
    <w:rsid w:val="00A4180E"/>
    <w:rsid w:val="00BB16B1"/>
    <w:rsid w:val="00F43B41"/>
    <w:rsid w:val="00FB2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69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fr-F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lang w:val="fr-FR"/>
    </w:rPr>
  </w:style>
  <w:style w:type="paragraph" w:customStyle="1" w:styleId="Heading">
    <w:name w:val="Heading"/>
    <w:next w:val="Body"/>
    <w:pPr>
      <w:outlineLvl w:val="0"/>
    </w:pPr>
    <w:rPr>
      <w:rFonts w:ascii="Avenir Next" w:hAnsi="Avenir Next" w:cs="Arial Unicode MS"/>
      <w:color w:val="000000"/>
      <w:sz w:val="46"/>
      <w:szCs w:val="46"/>
      <w:lang w:val="fr-FR"/>
    </w:rPr>
  </w:style>
  <w:style w:type="paragraph" w:customStyle="1" w:styleId="Body">
    <w:name w:val="Body"/>
    <w:pPr>
      <w:tabs>
        <w:tab w:val="left" w:pos="850"/>
      </w:tabs>
      <w:spacing w:after="120" w:line="288" w:lineRule="auto"/>
      <w:ind w:left="850"/>
      <w:jc w:val="both"/>
    </w:pPr>
    <w:rPr>
      <w:rFonts w:ascii="Avenir Next" w:hAnsi="Avenir Next" w:cs="Arial Unicode MS"/>
      <w:color w:val="000000"/>
      <w:lang w:val="fr-FR"/>
    </w:rPr>
  </w:style>
  <w:style w:type="paragraph" w:customStyle="1" w:styleId="Heading2">
    <w:name w:val="Heading 2"/>
    <w:next w:val="Body"/>
    <w:pPr>
      <w:tabs>
        <w:tab w:val="left" w:pos="850"/>
      </w:tabs>
      <w:spacing w:before="480" w:after="360"/>
      <w:outlineLvl w:val="1"/>
    </w:pPr>
    <w:rPr>
      <w:rFonts w:ascii="Avenir Next Medium" w:hAnsi="Avenir Next Medium" w:cs="Arial Unicode MS"/>
      <w:color w:val="000000"/>
      <w:sz w:val="32"/>
      <w:szCs w:val="32"/>
      <w:lang w:val="fr-FR"/>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En-tte">
    <w:name w:val="header"/>
    <w:basedOn w:val="Normal"/>
    <w:link w:val="En-tteCar"/>
    <w:uiPriority w:val="99"/>
    <w:unhideWhenUsed/>
    <w:rsid w:val="000B6E7A"/>
    <w:pPr>
      <w:tabs>
        <w:tab w:val="center" w:pos="4703"/>
        <w:tab w:val="right" w:pos="9406"/>
      </w:tabs>
    </w:pPr>
  </w:style>
  <w:style w:type="character" w:customStyle="1" w:styleId="En-tteCar">
    <w:name w:val="En-tête Car"/>
    <w:basedOn w:val="Policepardfaut"/>
    <w:link w:val="En-tte"/>
    <w:uiPriority w:val="99"/>
    <w:rsid w:val="000B6E7A"/>
    <w:rPr>
      <w:sz w:val="24"/>
      <w:szCs w:val="24"/>
      <w:lang w:eastAsia="en-US"/>
    </w:rPr>
  </w:style>
  <w:style w:type="paragraph" w:styleId="Pieddepage">
    <w:name w:val="footer"/>
    <w:basedOn w:val="Normal"/>
    <w:link w:val="PieddepageCar"/>
    <w:uiPriority w:val="99"/>
    <w:unhideWhenUsed/>
    <w:rsid w:val="000B6E7A"/>
    <w:pPr>
      <w:tabs>
        <w:tab w:val="center" w:pos="4703"/>
        <w:tab w:val="right" w:pos="9406"/>
      </w:tabs>
    </w:pPr>
  </w:style>
  <w:style w:type="character" w:customStyle="1" w:styleId="PieddepageCar">
    <w:name w:val="Pied de page Car"/>
    <w:basedOn w:val="Policepardfaut"/>
    <w:link w:val="Pieddepage"/>
    <w:uiPriority w:val="99"/>
    <w:rsid w:val="000B6E7A"/>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fr-F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lang w:val="fr-FR"/>
    </w:rPr>
  </w:style>
  <w:style w:type="paragraph" w:customStyle="1" w:styleId="Heading">
    <w:name w:val="Heading"/>
    <w:next w:val="Body"/>
    <w:pPr>
      <w:outlineLvl w:val="0"/>
    </w:pPr>
    <w:rPr>
      <w:rFonts w:ascii="Avenir Next" w:hAnsi="Avenir Next" w:cs="Arial Unicode MS"/>
      <w:color w:val="000000"/>
      <w:sz w:val="46"/>
      <w:szCs w:val="46"/>
      <w:lang w:val="fr-FR"/>
    </w:rPr>
  </w:style>
  <w:style w:type="paragraph" w:customStyle="1" w:styleId="Body">
    <w:name w:val="Body"/>
    <w:pPr>
      <w:tabs>
        <w:tab w:val="left" w:pos="850"/>
      </w:tabs>
      <w:spacing w:after="120" w:line="288" w:lineRule="auto"/>
      <w:ind w:left="850"/>
      <w:jc w:val="both"/>
    </w:pPr>
    <w:rPr>
      <w:rFonts w:ascii="Avenir Next" w:hAnsi="Avenir Next" w:cs="Arial Unicode MS"/>
      <w:color w:val="000000"/>
      <w:lang w:val="fr-FR"/>
    </w:rPr>
  </w:style>
  <w:style w:type="paragraph" w:customStyle="1" w:styleId="Heading2">
    <w:name w:val="Heading 2"/>
    <w:next w:val="Body"/>
    <w:pPr>
      <w:tabs>
        <w:tab w:val="left" w:pos="850"/>
      </w:tabs>
      <w:spacing w:before="480" w:after="360"/>
      <w:outlineLvl w:val="1"/>
    </w:pPr>
    <w:rPr>
      <w:rFonts w:ascii="Avenir Next Medium" w:hAnsi="Avenir Next Medium" w:cs="Arial Unicode MS"/>
      <w:color w:val="000000"/>
      <w:sz w:val="32"/>
      <w:szCs w:val="32"/>
      <w:lang w:val="fr-FR"/>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En-tte">
    <w:name w:val="header"/>
    <w:basedOn w:val="Normal"/>
    <w:link w:val="En-tteCar"/>
    <w:uiPriority w:val="99"/>
    <w:unhideWhenUsed/>
    <w:rsid w:val="000B6E7A"/>
    <w:pPr>
      <w:tabs>
        <w:tab w:val="center" w:pos="4703"/>
        <w:tab w:val="right" w:pos="9406"/>
      </w:tabs>
    </w:pPr>
  </w:style>
  <w:style w:type="character" w:customStyle="1" w:styleId="En-tteCar">
    <w:name w:val="En-tête Car"/>
    <w:basedOn w:val="Policepardfaut"/>
    <w:link w:val="En-tte"/>
    <w:uiPriority w:val="99"/>
    <w:rsid w:val="000B6E7A"/>
    <w:rPr>
      <w:sz w:val="24"/>
      <w:szCs w:val="24"/>
      <w:lang w:eastAsia="en-US"/>
    </w:rPr>
  </w:style>
  <w:style w:type="paragraph" w:styleId="Pieddepage">
    <w:name w:val="footer"/>
    <w:basedOn w:val="Normal"/>
    <w:link w:val="PieddepageCar"/>
    <w:uiPriority w:val="99"/>
    <w:unhideWhenUsed/>
    <w:rsid w:val="000B6E7A"/>
    <w:pPr>
      <w:tabs>
        <w:tab w:val="center" w:pos="4703"/>
        <w:tab w:val="right" w:pos="9406"/>
      </w:tabs>
    </w:pPr>
  </w:style>
  <w:style w:type="character" w:customStyle="1" w:styleId="PieddepageCar">
    <w:name w:val="Pied de page Car"/>
    <w:basedOn w:val="Policepardfaut"/>
    <w:link w:val="Pieddepage"/>
    <w:uiPriority w:val="99"/>
    <w:rsid w:val="000B6E7A"/>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539999" marR="0" indent="0" algn="just" defTabSz="457200" rtl="0" fontAlgn="auto" latinLnBrk="0" hangingPunct="0">
          <a:lnSpc>
            <a:spcPct val="120000"/>
          </a:lnSpc>
          <a:spcBef>
            <a:spcPts val="600"/>
          </a:spcBef>
          <a:spcAft>
            <a:spcPts val="0"/>
          </a:spcAft>
          <a:buClrTx/>
          <a:buSzTx/>
          <a:buFontTx/>
          <a:buNone/>
          <a:tabLst>
            <a:tab pos="533400" algn="l"/>
          </a:tabLst>
          <a:defRPr kumimoji="0" sz="1000" b="0" i="0" u="none" strike="noStrike" cap="none" spc="0" normalizeH="0" baseline="0">
            <a:ln>
              <a:noFill/>
            </a:ln>
            <a:solidFill>
              <a:srgbClr val="000000"/>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353</Words>
  <Characters>1943</Characters>
  <Application>Microsoft Macintosh Word</Application>
  <DocSecurity>0</DocSecurity>
  <Lines>16</Lines>
  <Paragraphs>4</Paragraphs>
  <ScaleCrop>false</ScaleCrop>
  <Company>UNIL</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Kaiser</cp:lastModifiedBy>
  <cp:revision>6</cp:revision>
  <dcterms:created xsi:type="dcterms:W3CDTF">2017-10-04T17:18:00Z</dcterms:created>
  <dcterms:modified xsi:type="dcterms:W3CDTF">2017-10-13T12:15:00Z</dcterms:modified>
</cp:coreProperties>
</file>