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spacing w:after="400"/>
      </w:pPr>
      <w:r>
        <w:rPr>
          <w:rtl w:val="0"/>
          <w:lang w:val="fr-FR"/>
        </w:rPr>
        <w:t>Techniques de repr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sentation en cartographie</w:t>
      </w:r>
    </w:p>
    <w:p>
      <w:pPr>
        <w:pStyle w:val="Liste définitions"/>
        <w:bidi w:val="0"/>
      </w:pPr>
      <w:r>
        <w:rPr>
          <w:rFonts w:ascii="Helvetica Neue" w:hAnsi="Helvetica Neue"/>
          <w:b w:val="1"/>
          <w:bCs w:val="1"/>
          <w:rtl w:val="0"/>
          <w:lang w:val="fr-FR"/>
        </w:rPr>
        <w:t>But:</w:t>
        <w:tab/>
      </w:r>
      <w:r>
        <w:rPr>
          <w:rtl w:val="0"/>
        </w:rPr>
        <w:t>Savoir distinguer les diff</w:t>
      </w:r>
      <w:r>
        <w:rPr>
          <w:rtl w:val="0"/>
        </w:rPr>
        <w:t>é</w:t>
      </w:r>
      <w:r>
        <w:rPr>
          <w:rtl w:val="0"/>
        </w:rPr>
        <w:t>rents types de cartes th</w:t>
      </w:r>
      <w:r>
        <w:rPr>
          <w:rtl w:val="0"/>
        </w:rPr>
        <w:t>é</w:t>
      </w:r>
      <w:r>
        <w:rPr>
          <w:rtl w:val="0"/>
        </w:rPr>
        <w:t>matiques et de conna</w:t>
      </w:r>
      <w:r>
        <w:rPr>
          <w:rtl w:val="0"/>
        </w:rPr>
        <w:t>î</w:t>
      </w:r>
      <w:r>
        <w:rPr>
          <w:rtl w:val="0"/>
        </w:rPr>
        <w:t>tre leurs caract</w:t>
      </w:r>
      <w:r>
        <w:rPr>
          <w:rtl w:val="0"/>
        </w:rPr>
        <w:t>é</w:t>
      </w:r>
      <w:r>
        <w:rPr>
          <w:rtl w:val="0"/>
        </w:rPr>
        <w:t>ristiques les plus importantes.</w:t>
      </w: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rFonts w:ascii="Helvetica Neue" w:cs="Helvetica Neue" w:hAnsi="Helvetica Neue" w:eastAsia="Helvetica Neue"/>
          <w:b w:val="1"/>
          <w:bCs w:val="1"/>
          <w:color w:val="000000"/>
          <w:sz w:val="22"/>
          <w:szCs w:val="22"/>
        </w:rPr>
      </w:pPr>
      <w:r>
        <w:rPr>
          <w:rtl w:val="0"/>
          <w:lang w:val="fr-FR"/>
        </w:rPr>
        <w:t>1</w:t>
        <w:tab/>
      </w:r>
      <w:r>
        <w:rPr>
          <w:sz w:val="28"/>
          <w:szCs w:val="28"/>
          <w:rtl w:val="0"/>
          <w:lang w:val="fr-FR"/>
        </w:rPr>
        <w:t>Types de cartes</w:t>
      </w:r>
    </w:p>
    <w:p>
      <w:pPr>
        <w:pStyle w:val="Normal.0"/>
        <w:bidi w:val="0"/>
      </w:pPr>
      <w:r>
        <w:rPr>
          <w:rtl w:val="0"/>
        </w:rPr>
        <w:t>Donnez le type de carte pour chaque extrait:</w:t>
      </w:r>
    </w:p>
    <w:tbl>
      <w:tblPr>
        <w:tblW w:w="8209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5556"/>
        <w:gridCol w:w="2653"/>
      </w:tblGrid>
      <w:tr>
        <w:tblPrEx>
          <w:shd w:val="clear" w:color="auto" w:fill="auto"/>
        </w:tblPrEx>
        <w:trPr>
          <w:trHeight w:val="3408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2125315"/>
                  <wp:effectExtent l="0" t="0" r="0" b="0"/>
                  <wp:docPr id="107374182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Screen Shot 2013-10-28 at 10.35.18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21253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Plan de charges de l'autoroute autour de Lausanne, avec fr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quentation des jonctions.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  <w:p>
            <w:pPr>
              <w:pStyle w:val="Normal.0"/>
              <w:pBdr>
                <w:top w:val="nil"/>
                <w:left w:val="nil"/>
                <w:bottom w:val="single" w:color="000000" w:sz="2" w:space="0" w:shadow="0" w:frame="0"/>
                <w:right w:val="nil"/>
              </w:pBdr>
              <w:tabs>
                <w:tab w:val="left" w:pos="1155"/>
                <w:tab w:val="left" w:pos="1416"/>
                <w:tab w:val="left" w:pos="2124"/>
              </w:tabs>
              <w:jc w:val="left"/>
            </w:pPr>
            <w:r>
              <w:rPr>
                <w:color w:val="b51a00"/>
                <w:rtl w:val="0"/>
                <w:lang w:val="fr-FR"/>
              </w:rPr>
              <w:t>Carte en lignes: carte des flux avec tron</w:t>
            </w:r>
            <w:r>
              <w:rPr>
                <w:color w:val="b51a00"/>
                <w:rtl w:val="0"/>
                <w:lang w:val="fr-FR"/>
              </w:rPr>
              <w:t>ç</w:t>
            </w:r>
            <w:r>
              <w:rPr>
                <w:color w:val="b51a00"/>
                <w:rtl w:val="0"/>
                <w:lang w:val="fr-FR"/>
              </w:rPr>
              <w:t>ons proportionnels aux flux</w:t>
            </w:r>
          </w:p>
        </w:tc>
      </w:tr>
      <w:tr>
        <w:tblPrEx>
          <w:shd w:val="clear" w:color="auto" w:fill="auto"/>
        </w:tblPrEx>
        <w:trPr>
          <w:trHeight w:val="3526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2127222"/>
                  <wp:effectExtent l="0" t="0" r="0" b="0"/>
                  <wp:docPr id="107374182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Screen Shot 2013-10-28 at 10.39.58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21272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Population 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sidente et proportion de filles (&lt;15ans) en 2010, dans les communes valaisannes.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  <w:p>
            <w:pPr>
              <w:pStyle w:val="Normal.0"/>
              <w:pBdr>
                <w:top w:val="nil"/>
                <w:left w:val="nil"/>
                <w:bottom w:val="single" w:color="000000" w:sz="2" w:space="0" w:shadow="0" w:frame="0"/>
                <w:right w:val="nil"/>
              </w:pBdr>
              <w:tabs>
                <w:tab w:val="left" w:pos="1155"/>
                <w:tab w:val="left" w:pos="1416"/>
                <w:tab w:val="left" w:pos="2124"/>
              </w:tabs>
              <w:jc w:val="left"/>
            </w:pPr>
            <w:r>
              <w:rPr>
                <w:color w:val="b51a00"/>
                <w:rtl w:val="0"/>
                <w:lang w:val="fr-FR"/>
              </w:rPr>
              <w:t>Carte bivari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>e: anamorphose contigu</w:t>
            </w:r>
            <w:r>
              <w:rPr>
                <w:color w:val="b51a00"/>
                <w:rtl w:val="0"/>
                <w:lang w:val="fr-FR"/>
              </w:rPr>
              <w:t xml:space="preserve">ë </w:t>
            </w:r>
            <w:r>
              <w:rPr>
                <w:color w:val="b51a00"/>
                <w:rtl w:val="0"/>
                <w:lang w:val="fr-FR"/>
              </w:rPr>
              <w:t>(pour la variable de taile) avec carte choropl</w:t>
            </w:r>
            <w:r>
              <w:rPr>
                <w:color w:val="b51a00"/>
                <w:rtl w:val="0"/>
                <w:lang w:val="fr-FR"/>
              </w:rPr>
              <w:t>è</w:t>
            </w:r>
            <w:r>
              <w:rPr>
                <w:color w:val="b51a00"/>
                <w:rtl w:val="0"/>
                <w:lang w:val="fr-FR"/>
              </w:rPr>
              <w:t>the (pour la variable de structure)</w:t>
            </w:r>
          </w:p>
        </w:tc>
      </w:tr>
      <w:tr>
        <w:tblPrEx>
          <w:shd w:val="clear" w:color="auto" w:fill="auto"/>
        </w:tblPrEx>
        <w:trPr>
          <w:trHeight w:val="5411" w:hRule="atLeast"/>
        </w:trPr>
        <w:tc>
          <w:tcPr>
            <w:tcW w:type="dxa" w:w="555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3397283" cy="3397283"/>
                  <wp:effectExtent l="0" t="0" r="0" b="0"/>
                  <wp:docPr id="1073741828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election-national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283" cy="33972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</w:tabs>
              <w:jc w:val="left"/>
            </w:pPr>
            <w:r>
              <w:rPr>
                <w:rtl w:val="0"/>
                <w:lang w:val="fr-FR"/>
              </w:rPr>
              <w:t>Nombre de votes et parti politique dominant par commune suisse lors de l'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lection du conseil national en 2007.</w:t>
            </w:r>
          </w:p>
          <w:p>
            <w:pPr>
              <w:pStyle w:val="Normal.0"/>
              <w:bidi w:val="0"/>
            </w:pPr>
            <w:r>
              <w:rPr>
                <w:rtl w:val="0"/>
              </w:rPr>
              <w:t>Type de carte:</w:t>
            </w:r>
          </w:p>
          <w:p>
            <w:pPr>
              <w:pStyle w:val="Normal.0"/>
              <w:pBdr>
                <w:top w:val="nil"/>
                <w:left w:val="nil"/>
                <w:bottom w:val="single" w:color="000000" w:sz="2" w:space="0" w:shadow="0" w:frame="0"/>
                <w:right w:val="nil"/>
              </w:pBdr>
              <w:tabs>
                <w:tab w:val="left" w:pos="1155"/>
                <w:tab w:val="left" w:pos="1416"/>
                <w:tab w:val="left" w:pos="2124"/>
              </w:tabs>
              <w:jc w:val="left"/>
              <w:rPr>
                <w:color w:val="b51a00"/>
              </w:rPr>
            </w:pPr>
            <w:r>
              <w:rPr>
                <w:color w:val="b51a00"/>
                <w:rtl w:val="0"/>
                <w:lang w:val="fr-FR"/>
              </w:rPr>
              <w:t>Carte multivari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 xml:space="preserve">e avec trois variables: variable de taille pour les symboles proportionnels, variable de structure (proportion de votes) pour les tons de couleurs, variable nominale des partis politique pour la couleur. </w:t>
            </w:r>
          </w:p>
        </w:tc>
      </w:tr>
    </w:tbl>
    <w:p>
      <w:pPr>
        <w:pStyle w:val="Normal.0"/>
        <w:tabs>
          <w:tab w:val="left" w:pos="284"/>
          <w:tab w:val="center" w:pos="3119"/>
          <w:tab w:val="center" w:pos="3686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after="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2</w:t>
        <w:tab/>
      </w:r>
      <w:r>
        <w:rPr>
          <w:sz w:val="28"/>
          <w:szCs w:val="28"/>
          <w:rtl w:val="0"/>
          <w:lang w:val="fr-FR"/>
        </w:rPr>
        <w:t>Cartes choropl</w:t>
      </w:r>
      <w:r>
        <w:rPr>
          <w:sz w:val="28"/>
          <w:szCs w:val="28"/>
          <w:rtl w:val="0"/>
          <w:lang w:val="fr-FR"/>
        </w:rPr>
        <w:t>è</w:t>
      </w:r>
      <w:r>
        <w:rPr>
          <w:sz w:val="28"/>
          <w:szCs w:val="28"/>
          <w:rtl w:val="0"/>
          <w:lang w:val="fr-FR"/>
        </w:rPr>
        <w:t>thes</w:t>
      </w:r>
    </w:p>
    <w:p>
      <w:pPr>
        <w:pStyle w:val="Normal.0"/>
        <w:bidi w:val="0"/>
      </w:pPr>
      <w:r>
        <w:rPr>
          <w:rtl w:val="0"/>
        </w:rPr>
        <w:t>Pour quels ph</w:t>
      </w:r>
      <w:r>
        <w:rPr>
          <w:rtl w:val="0"/>
        </w:rPr>
        <w:t>é</w:t>
      </w:r>
      <w:r>
        <w:rPr>
          <w:rtl w:val="0"/>
        </w:rPr>
        <w:t>nom</w:t>
      </w:r>
      <w:r>
        <w:rPr>
          <w:rtl w:val="0"/>
        </w:rPr>
        <w:t>è</w:t>
      </w:r>
      <w:r>
        <w:rPr>
          <w:rtl w:val="0"/>
        </w:rPr>
        <w:t>nes spatiaux une carte choropl</w:t>
      </w:r>
      <w:r>
        <w:rPr>
          <w:rtl w:val="0"/>
        </w:rPr>
        <w:t>è</w:t>
      </w:r>
      <w:r>
        <w:rPr>
          <w:rtl w:val="0"/>
        </w:rPr>
        <w:t>the est appropri</w:t>
      </w:r>
      <w:r>
        <w:rPr>
          <w:rtl w:val="0"/>
        </w:rPr>
        <w:t>é</w:t>
      </w:r>
      <w:r>
        <w:rPr>
          <w:rtl w:val="0"/>
        </w:rPr>
        <w:t>e: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</w:rPr>
        <w:tab/>
        <w:tab/>
        <w:t>Oui</w:t>
        <w:tab/>
        <w:t>Non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a.</w:t>
        <w:tab/>
        <w:t>Taux de motorisation (nombre de voitures par 1000 habitants)</w:t>
        <w:tab/>
        <w:t>x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b.</w:t>
        <w:tab/>
        <w:t>Temp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rature de l'air (</w:t>
      </w:r>
      <w:r>
        <w:rPr>
          <w:rtl w:val="0"/>
          <w:lang w:val="fr-FR"/>
        </w:rPr>
        <w:t>°</w:t>
      </w:r>
      <w:r>
        <w:rPr>
          <w:rtl w:val="0"/>
          <w:lang w:val="fr-FR"/>
        </w:rPr>
        <w:t>C)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tl w:val="0"/>
          <w:lang w:val="fr-FR"/>
        </w:rPr>
        <w:t>x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c.</w:t>
        <w:tab/>
        <w:t>Densit</w:t>
      </w:r>
      <w:r>
        <w:rPr>
          <w:rtl w:val="0"/>
          <w:lang w:val="fr-FR"/>
        </w:rPr>
        <w:t xml:space="preserve">é </w:t>
      </w:r>
      <w:r>
        <w:rPr>
          <w:rtl w:val="0"/>
          <w:lang w:val="fr-FR"/>
        </w:rPr>
        <w:t>d'arbres fruitiers par district (nombres d'arbres par hectare)</w:t>
        <w:tab/>
        <w:t>x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d.</w:t>
        <w:tab/>
        <w:t>Nombre de personnes ayant eu la grippe en 2012, par commune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tl w:val="0"/>
          <w:lang w:val="fr-FR"/>
        </w:rPr>
        <w:t>x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e.</w:t>
        <w:tab/>
        <w:t xml:space="preserve">Proportion de personnes 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>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par commune</w:t>
        <w:tab/>
        <w:t>x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f.</w:t>
        <w:tab/>
        <w:t xml:space="preserve">Nombre de personnes </w:t>
      </w:r>
      <w:r>
        <w:rPr>
          <w:rtl w:val="0"/>
          <w:lang w:val="fr-FR"/>
        </w:rPr>
        <w:t>â</w:t>
      </w:r>
      <w:r>
        <w:rPr>
          <w:rtl w:val="0"/>
          <w:lang w:val="fr-FR"/>
        </w:rPr>
        <w:t>g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es, par commune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tl w:val="0"/>
          <w:lang w:val="fr-FR"/>
        </w:rPr>
        <w:t>x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g.</w:t>
        <w:tab/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missions de CO</w:t>
      </w:r>
      <w:r>
        <w:rPr>
          <w:vertAlign w:val="subscript"/>
          <w:rtl w:val="0"/>
          <w:lang w:val="fr-FR"/>
        </w:rPr>
        <w:t>2</w:t>
      </w:r>
      <w:r>
        <w:rPr>
          <w:rtl w:val="0"/>
          <w:lang w:val="fr-FR"/>
        </w:rPr>
        <w:t xml:space="preserve"> par pays dans le monde, en m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ga-tonnes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  <w:r>
        <w:tab/>
      </w:r>
      <w:r>
        <w:rPr>
          <w:rtl w:val="0"/>
          <w:lang w:val="fr-FR"/>
        </w:rPr>
        <w:t>x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h.</w:t>
        <w:tab/>
      </w:r>
      <w:r>
        <w:rPr>
          <w:rtl w:val="0"/>
          <w:lang w:val="fr-FR"/>
        </w:rPr>
        <w:t>É</w:t>
      </w:r>
      <w:r>
        <w:rPr>
          <w:rtl w:val="0"/>
          <w:lang w:val="fr-FR"/>
        </w:rPr>
        <w:t>missions de CO</w:t>
      </w:r>
      <w:r>
        <w:rPr>
          <w:vertAlign w:val="subscript"/>
          <w:rtl w:val="0"/>
          <w:lang w:val="fr-FR"/>
        </w:rPr>
        <w:t>2</w:t>
      </w:r>
      <w:r>
        <w:rPr>
          <w:rtl w:val="0"/>
          <w:lang w:val="fr-FR"/>
        </w:rPr>
        <w:t xml:space="preserve"> par pays dans le monde, en tonnes par habitant</w:t>
        <w:tab/>
        <w:t>x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tabs>
          <w:tab w:val="left" w:pos="284"/>
          <w:tab w:val="center" w:pos="6805"/>
          <w:tab w:val="center" w:pos="7372"/>
          <w:tab w:val="left" w:pos="7788"/>
        </w:tabs>
        <w:spacing w:after="60"/>
      </w:pPr>
      <w:r>
        <w:rPr>
          <w:rtl w:val="0"/>
          <w:lang w:val="fr-FR"/>
        </w:rPr>
        <w:t>i.</w:t>
        <w:tab/>
        <w:t>D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 xml:space="preserve">penses en </w:t>
      </w:r>
      <w:r>
        <w:rPr>
          <w:rtl w:val="0"/>
          <w:lang w:val="fr-FR"/>
        </w:rPr>
        <w:t>é</w:t>
      </w:r>
      <w:r>
        <w:rPr>
          <w:rtl w:val="0"/>
          <w:lang w:val="fr-FR"/>
        </w:rPr>
        <w:t>ducation, en % du budget total, par canton</w:t>
        <w:tab/>
        <w:t>x</w:t>
        <w:tab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  <w:lang w:val="fr-FR"/>
        </w:rPr>
        <w:t>☐</w:t>
      </w:r>
    </w:p>
    <w:p>
      <w:pPr>
        <w:pStyle w:val="Normal.0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3</w:t>
        <w:tab/>
      </w:r>
      <w:r>
        <w:rPr>
          <w:sz w:val="28"/>
          <w:szCs w:val="28"/>
          <w:rtl w:val="0"/>
          <w:lang w:val="fr-FR"/>
        </w:rPr>
        <w:t>L</w:t>
      </w:r>
      <w:r>
        <w:rPr>
          <w:sz w:val="28"/>
          <w:szCs w:val="28"/>
          <w:rtl w:val="0"/>
          <w:lang w:val="fr-FR"/>
        </w:rPr>
        <w:t>é</w:t>
      </w:r>
      <w:r>
        <w:rPr>
          <w:sz w:val="28"/>
          <w:szCs w:val="28"/>
          <w:rtl w:val="0"/>
          <w:lang w:val="fr-FR"/>
        </w:rPr>
        <w:t>gendes de cartes th</w:t>
      </w:r>
      <w:r>
        <w:rPr>
          <w:sz w:val="28"/>
          <w:szCs w:val="28"/>
          <w:rtl w:val="0"/>
          <w:lang w:val="fr-FR"/>
        </w:rPr>
        <w:t>é</w:t>
      </w:r>
      <w:r>
        <w:rPr>
          <w:sz w:val="28"/>
          <w:szCs w:val="28"/>
          <w:rtl w:val="0"/>
          <w:lang w:val="fr-FR"/>
        </w:rPr>
        <w:t>matiques</w:t>
      </w:r>
    </w:p>
    <w:p>
      <w:pPr>
        <w:pStyle w:val="Normal.0"/>
        <w:bidi w:val="0"/>
      </w:pPr>
      <w:r>
        <w:rPr>
          <w:rtl w:val="0"/>
        </w:rPr>
        <w:t>Pour chaque th</w:t>
      </w:r>
      <w:r>
        <w:rPr>
          <w:rtl w:val="0"/>
        </w:rPr>
        <w:t>è</w:t>
      </w:r>
      <w:r>
        <w:rPr>
          <w:rtl w:val="0"/>
        </w:rPr>
        <w:t>me indiquez le type de carte th</w:t>
      </w:r>
      <w:r>
        <w:rPr>
          <w:rtl w:val="0"/>
        </w:rPr>
        <w:t>é</w:t>
      </w:r>
      <w:r>
        <w:rPr>
          <w:rtl w:val="0"/>
        </w:rPr>
        <w:t>matique appropri</w:t>
      </w:r>
      <w:r>
        <w:rPr>
          <w:rtl w:val="0"/>
        </w:rPr>
        <w:t xml:space="preserve">é </w:t>
      </w:r>
      <w:r>
        <w:rPr>
          <w:rtl w:val="0"/>
        </w:rPr>
        <w:t>et proposez la l</w:t>
      </w:r>
      <w:r>
        <w:rPr>
          <w:rtl w:val="0"/>
        </w:rPr>
        <w:t>é</w:t>
      </w:r>
      <w:r>
        <w:rPr>
          <w:rtl w:val="0"/>
        </w:rPr>
        <w:t>gende de la carte (sous forme d'esquisse grossi</w:t>
      </w:r>
      <w:r>
        <w:rPr>
          <w:rtl w:val="0"/>
        </w:rPr>
        <w:t>è</w:t>
      </w:r>
      <w:r>
        <w:rPr>
          <w:rtl w:val="0"/>
        </w:rPr>
        <w:t>re, mais de bonne qualit</w:t>
      </w:r>
      <w:r>
        <w:rPr>
          <w:rtl w:val="0"/>
        </w:rPr>
        <w:t>é</w:t>
      </w:r>
      <w:r>
        <w:rPr>
          <w:rtl w:val="0"/>
        </w:rPr>
        <w:t>):</w:t>
      </w:r>
    </w:p>
    <w:tbl>
      <w:tblPr>
        <w:tblW w:w="8192" w:type="dxa"/>
        <w:jc w:val="left"/>
        <w:tblInd w:w="108" w:type="dxa"/>
        <w:tblBorders>
          <w:top w:val="single" w:color="000000" w:sz="8" w:space="0" w:shadow="0" w:frame="0"/>
          <w:left w:val="single" w:color="000000" w:sz="8" w:space="0" w:shadow="0" w:frame="0"/>
          <w:bottom w:val="single" w:color="000000" w:sz="8" w:space="0" w:shadow="0" w:frame="0"/>
          <w:right w:val="single" w:color="000000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auto"/>
        <w:tblLayout w:type="fixed"/>
      </w:tblPr>
      <w:tblGrid>
        <w:gridCol w:w="3309"/>
        <w:gridCol w:w="4883"/>
      </w:tblGrid>
      <w:tr>
        <w:tblPrEx>
          <w:shd w:val="clear" w:color="auto" w:fill="auto"/>
        </w:tblPrEx>
        <w:trPr>
          <w:trHeight w:val="3746" w:hRule="atLeast"/>
        </w:trPr>
        <w:tc>
          <w:tcPr>
            <w:tcW w:type="dxa" w:w="3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a.</w:t>
              <w:tab/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pid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miologie et sant</w:t>
            </w:r>
            <w:r>
              <w:rPr>
                <w:rtl w:val="0"/>
                <w:lang w:val="fr-FR"/>
              </w:rPr>
              <w:t xml:space="preserve">é </w:t>
            </w:r>
            <w:r>
              <w:rPr>
                <w:rtl w:val="0"/>
                <w:lang w:val="fr-FR"/>
              </w:rPr>
              <w:t>publique. Proposez une 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gende pour une carte du nombre de cancers des poumons et la proportion par rapport au nombre total de cancers, pour la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 xml:space="preserve">riode de 2000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2010, dans les communes valaisannes.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Type de carte:</w:t>
            </w:r>
          </w:p>
          <w:p>
            <w:pPr>
              <w:pStyle w:val="Normal.0"/>
              <w:pBdr>
                <w:top w:val="nil"/>
                <w:left w:val="nil"/>
                <w:bottom w:val="dotted" w:color="000000" w:sz="2" w:space="0" w:shadow="0" w:frame="0"/>
                <w:right w:val="nil"/>
              </w:pBdr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</w:t>
            </w:r>
            <w:r>
              <w:rPr>
                <w:color w:val="b51a00"/>
                <w:rtl w:val="0"/>
                <w:lang w:val="fr-FR"/>
              </w:rPr>
              <w:t>Symboles proportionnels color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>s</w:t>
            </w:r>
            <w:r/>
          </w:p>
        </w:tc>
        <w:tc>
          <w:tcPr>
            <w:tcW w:type="dxa" w:w="48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2969690" cy="1525415"/>
                  <wp:effectExtent l="0" t="0" r="0" b="0"/>
                  <wp:docPr id="107374182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legende-1.jp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9690" cy="152541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3301" w:hRule="atLeast"/>
        </w:trPr>
        <w:tc>
          <w:tcPr>
            <w:tcW w:type="dxa" w:w="3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b.</w:t>
              <w:tab/>
              <w:t>Pollution. Proposez une 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gende pour cartographier les mesures de pollution en arsenic dans les s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 xml:space="preserve">diments lacustres (en ppm), pour 1200 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chantillons.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</w:pPr>
            <w:r>
              <w:rPr>
                <w:rtl w:val="0"/>
                <w:lang w:val="fr-FR"/>
              </w:rPr>
              <w:t xml:space="preserve"> Type de carte:</w:t>
            </w:r>
          </w:p>
          <w:p>
            <w:pPr>
              <w:pStyle w:val="Normal.0"/>
              <w:pBdr>
                <w:top w:val="nil"/>
                <w:left w:val="nil"/>
                <w:bottom w:val="dotted" w:color="000000" w:sz="2" w:space="0" w:shadow="0" w:frame="0"/>
                <w:right w:val="nil"/>
              </w:pBdr>
              <w:tabs>
                <w:tab w:val="left" w:pos="708"/>
                <w:tab w:val="left" w:pos="1416"/>
                <w:tab w:val="left" w:pos="2124"/>
                <w:tab w:val="left" w:pos="2832"/>
              </w:tabs>
              <w:jc w:val="left"/>
            </w:pPr>
            <w:r>
              <w:rPr>
                <w:color w:val="b51a00"/>
                <w:rtl w:val="0"/>
                <w:lang w:val="fr-FR"/>
              </w:rPr>
              <w:t>Symboles proportionnels vue qu'on cartographie les mesures par point, et non une variable normalis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 xml:space="preserve">e par rapport </w:t>
            </w:r>
            <w:r>
              <w:rPr>
                <w:color w:val="b51a00"/>
                <w:rtl w:val="0"/>
                <w:lang w:val="fr-FR"/>
              </w:rPr>
              <w:t xml:space="preserve">à </w:t>
            </w:r>
            <w:r>
              <w:rPr>
                <w:color w:val="b51a00"/>
                <w:rtl w:val="0"/>
                <w:lang w:val="fr-FR"/>
              </w:rPr>
              <w:t>la surface p.ex.</w:t>
            </w:r>
          </w:p>
        </w:tc>
        <w:tc>
          <w:tcPr>
            <w:tcW w:type="dxa" w:w="48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  <w:jc w:val="center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2555277" cy="2057400"/>
                  <wp:effectExtent l="0" t="0" r="0" b="0"/>
                  <wp:docPr id="107374183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0" name="legende-2.jp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277" cy="20574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auto"/>
        </w:tblPrEx>
        <w:trPr>
          <w:trHeight w:val="6526" w:hRule="atLeast"/>
        </w:trPr>
        <w:tc>
          <w:tcPr>
            <w:tcW w:type="dxa" w:w="330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384"/>
              <w:bottom w:type="dxa" w:w="100"/>
              <w:right w:type="dxa" w:w="100"/>
            </w:tcMar>
            <w:vAlign w:val="top"/>
          </w:tcPr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>c.</w:t>
              <w:tab/>
              <w:t xml:space="preserve">Espace urbain. Suite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 xml:space="preserve">une 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tude d'am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nagement du territoire, les communes de la r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gion de Moscou sont cat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goris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es comme suit pour cibler les interventions de l'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tat: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 xml:space="preserve">Espaces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dominante urbaine: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urbain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riurbaine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multipolaire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  <w:jc w:val="left"/>
            </w:pPr>
            <w:r>
              <w:rPr>
                <w:rtl w:val="0"/>
                <w:lang w:val="fr-FR"/>
              </w:rPr>
              <w:t xml:space="preserve">Espaces </w:t>
            </w:r>
            <w:r>
              <w:rPr>
                <w:rtl w:val="0"/>
                <w:lang w:val="fr-FR"/>
              </w:rPr>
              <w:t xml:space="preserve">à </w:t>
            </w:r>
            <w:r>
              <w:rPr>
                <w:rtl w:val="0"/>
                <w:lang w:val="fr-FR"/>
              </w:rPr>
              <w:t>dominante rurale: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rural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p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riph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rique d'un p</w:t>
            </w:r>
            <w:r>
              <w:rPr>
                <w:rtl w:val="0"/>
                <w:lang w:val="fr-FR"/>
              </w:rPr>
              <w:t>ô</w:t>
            </w:r>
            <w:r>
              <w:rPr>
                <w:rtl w:val="0"/>
                <w:lang w:val="fr-FR"/>
              </w:rPr>
              <w:t>le rural</w:t>
            </w:r>
            <w:r>
              <w:rPr>
                <w:rFonts w:ascii="Arial Unicode MS" w:cs="Arial Unicode MS" w:hAnsi="Arial Unicode MS" w:eastAsia="Arial Unicode MS"/>
                <w:b w:val="0"/>
                <w:bCs w:val="0"/>
                <w:i w:val="0"/>
                <w:iCs w:val="0"/>
              </w:rPr>
              <w:br w:type="textWrapping"/>
            </w:r>
            <w:r>
              <w:rPr>
                <w:rtl w:val="0"/>
                <w:lang w:val="fr-FR"/>
              </w:rPr>
              <w:t xml:space="preserve">··  </w:t>
            </w:r>
            <w:r>
              <w:rPr>
                <w:rtl w:val="0"/>
                <w:lang w:val="fr-FR"/>
              </w:rPr>
              <w:t>Commune rurale isol</w:t>
            </w:r>
            <w:r>
              <w:rPr>
                <w:rtl w:val="0"/>
                <w:lang w:val="fr-FR"/>
              </w:rPr>
              <w:t>é</w:t>
            </w:r>
            <w:r>
              <w:rPr>
                <w:rtl w:val="0"/>
                <w:lang w:val="fr-FR"/>
              </w:rPr>
              <w:t>e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ind w:left="284" w:hanging="284"/>
            </w:pPr>
            <w:r>
              <w:rPr>
                <w:rtl w:val="0"/>
                <w:lang w:val="fr-FR"/>
              </w:rPr>
              <w:t>Type de carte:</w:t>
            </w:r>
          </w:p>
          <w:p>
            <w:pPr>
              <w:pStyle w:val="Normal.0"/>
              <w:tabs>
                <w:tab w:val="left" w:pos="708"/>
                <w:tab w:val="left" w:pos="1416"/>
                <w:tab w:val="left" w:pos="2124"/>
                <w:tab w:val="left" w:pos="2832"/>
              </w:tabs>
              <w:jc w:val="left"/>
            </w:pPr>
            <w:r>
              <w:rPr>
                <w:color w:val="b51a00"/>
                <w:rtl w:val="0"/>
                <w:lang w:val="fr-FR"/>
              </w:rPr>
              <w:t>Carte choropl</w:t>
            </w:r>
            <w:r>
              <w:rPr>
                <w:color w:val="b51a00"/>
                <w:rtl w:val="0"/>
                <w:lang w:val="fr-FR"/>
              </w:rPr>
              <w:t>è</w:t>
            </w:r>
            <w:r>
              <w:rPr>
                <w:color w:val="b51a00"/>
                <w:rtl w:val="0"/>
                <w:lang w:val="fr-FR"/>
              </w:rPr>
              <w:t>the avec deux couleurs (urbain vs. rural), et des couleurs similaires pour diff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 xml:space="preserve">rencier </w:t>
            </w:r>
            <w:r>
              <w:rPr>
                <w:color w:val="b51a00"/>
                <w:rtl w:val="0"/>
                <w:lang w:val="fr-FR"/>
              </w:rPr>
              <w:t xml:space="preserve">à </w:t>
            </w:r>
            <w:r>
              <w:rPr>
                <w:color w:val="b51a00"/>
                <w:rtl w:val="0"/>
                <w:lang w:val="fr-FR"/>
              </w:rPr>
              <w:t>l'int</w:t>
            </w:r>
            <w:r>
              <w:rPr>
                <w:color w:val="b51a00"/>
                <w:rtl w:val="0"/>
                <w:lang w:val="fr-FR"/>
              </w:rPr>
              <w:t>é</w:t>
            </w:r>
            <w:r>
              <w:rPr>
                <w:color w:val="b51a00"/>
                <w:rtl w:val="0"/>
                <w:lang w:val="fr-FR"/>
              </w:rPr>
              <w:t>rieur de l'urbain resp. le rural.</w:t>
            </w:r>
          </w:p>
        </w:tc>
        <w:tc>
          <w:tcPr>
            <w:tcW w:type="dxa" w:w="48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100"/>
              <w:left w:type="dxa" w:w="100"/>
              <w:bottom w:type="dxa" w:w="100"/>
              <w:right w:type="dxa" w:w="100"/>
            </w:tcMar>
            <w:vAlign w:val="top"/>
          </w:tcPr>
          <w:p>
            <w:pPr>
              <w:pStyle w:val="Free Form"/>
              <w:spacing w:after="0" w:line="240" w:lineRule="auto"/>
              <w:jc w:val="center"/>
            </w:pPr>
            <w:r>
              <w:rPr>
                <w:rFonts w:ascii="Helvetica" w:cs="Helvetica" w:hAnsi="Helvetica" w:eastAsia="Helvetica"/>
                <w:sz w:val="24"/>
                <w:szCs w:val="24"/>
              </w:rPr>
              <w:drawing>
                <wp:inline distT="0" distB="0" distL="0" distR="0">
                  <wp:extent cx="2527300" cy="2443396"/>
                  <wp:effectExtent l="0" t="0" r="0" b="0"/>
                  <wp:docPr id="107374183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legende-3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300" cy="24433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bidi w:val="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4</w:t>
        <w:tab/>
      </w:r>
      <w:r>
        <w:rPr>
          <w:sz w:val="28"/>
          <w:szCs w:val="28"/>
          <w:rtl w:val="0"/>
          <w:lang w:val="fr-FR"/>
        </w:rPr>
        <w:t>Cartes en symboles proportionnels</w:t>
      </w:r>
    </w:p>
    <w:p>
      <w:pPr>
        <w:pStyle w:val="Normal.0"/>
        <w:bidi w:val="0"/>
      </w:pPr>
      <w:r>
        <w:rPr>
          <w:rtl w:val="0"/>
        </w:rPr>
        <w:t>D</w:t>
      </w:r>
      <w:r>
        <w:rPr>
          <w:rtl w:val="0"/>
        </w:rPr>
        <w:t>é</w:t>
      </w:r>
      <w:r>
        <w:rPr>
          <w:rtl w:val="0"/>
        </w:rPr>
        <w:t>crivez le principe de la compensation de Flannery, dans quels cas il faut y recourir, et pourquoi:</w:t>
      </w: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rPr>
          <w:color w:val="b51a00"/>
        </w:rPr>
      </w:pPr>
      <w:r>
        <w:rPr>
          <w:color w:val="b51a00"/>
          <w:rtl w:val="0"/>
          <w:lang w:val="fr-FR"/>
        </w:rPr>
        <w:t>La compensation de Flannery permet d'agrandir l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>g</w:t>
      </w:r>
      <w:r>
        <w:rPr>
          <w:color w:val="b51a00"/>
          <w:rtl w:val="0"/>
          <w:lang w:val="fr-FR"/>
        </w:rPr>
        <w:t>è</w:t>
      </w:r>
      <w:r>
        <w:rPr>
          <w:color w:val="b51a00"/>
          <w:rtl w:val="0"/>
          <w:lang w:val="fr-FR"/>
        </w:rPr>
        <w:t>rement les cercles proportionnels pour ajuster d'un effet de perception biais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 xml:space="preserve">e de la taille relative. Au lieu de faire varier le rayon des cercles par rapport </w:t>
      </w:r>
      <w:r>
        <w:rPr>
          <w:color w:val="b51a00"/>
          <w:rtl w:val="0"/>
          <w:lang w:val="fr-FR"/>
        </w:rPr>
        <w:t xml:space="preserve">à </w:t>
      </w:r>
      <w:r>
        <w:rPr>
          <w:color w:val="b51a00"/>
          <w:rtl w:val="0"/>
          <w:lang w:val="fr-FR"/>
        </w:rPr>
        <w:t>la racine carr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>e du ph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>nom</w:t>
      </w:r>
      <w:r>
        <w:rPr>
          <w:color w:val="b51a00"/>
          <w:rtl w:val="0"/>
          <w:lang w:val="fr-FR"/>
        </w:rPr>
        <w:t>è</w:t>
      </w:r>
      <w:r>
        <w:rPr>
          <w:color w:val="b51a00"/>
          <w:rtl w:val="0"/>
          <w:lang w:val="fr-FR"/>
        </w:rPr>
        <w:t>ne cartographi</w:t>
      </w:r>
      <w:r>
        <w:rPr>
          <w:color w:val="b51a00"/>
          <w:rtl w:val="0"/>
          <w:lang w:val="fr-FR"/>
        </w:rPr>
        <w:t xml:space="preserve">é </w:t>
      </w:r>
      <w:r>
        <w:rPr>
          <w:color w:val="b51a00"/>
          <w:rtl w:val="0"/>
          <w:lang w:val="fr-FR"/>
        </w:rPr>
        <w:t>(r ~ N</w:t>
      </w:r>
      <w:r>
        <w:rPr>
          <w:color w:val="b51a00"/>
          <w:vertAlign w:val="superscript"/>
          <w:rtl w:val="0"/>
          <w:lang w:val="fr-FR"/>
        </w:rPr>
        <w:t>0.5</w:t>
      </w:r>
      <w:r>
        <w:rPr>
          <w:color w:val="b51a00"/>
          <w:rtl w:val="0"/>
          <w:lang w:val="fr-FR"/>
        </w:rPr>
        <w:t>), on fait varier le rayon avec un exposant de 0.57 (r ~ N</w:t>
      </w:r>
      <w:r>
        <w:rPr>
          <w:color w:val="b51a00"/>
          <w:vertAlign w:val="superscript"/>
          <w:rtl w:val="0"/>
          <w:lang w:val="fr-FR"/>
        </w:rPr>
        <w:t>0.57</w:t>
      </w:r>
      <w:r>
        <w:rPr>
          <w:color w:val="b51a00"/>
          <w:rtl w:val="0"/>
          <w:lang w:val="fr-FR"/>
        </w:rPr>
        <w:t xml:space="preserve">). L'ajustement de Flannery doit </w:t>
      </w:r>
      <w:r>
        <w:rPr>
          <w:color w:val="b51a00"/>
          <w:rtl w:val="0"/>
          <w:lang w:val="fr-FR"/>
        </w:rPr>
        <w:t>ê</w:t>
      </w:r>
      <w:r>
        <w:rPr>
          <w:color w:val="b51a00"/>
          <w:rtl w:val="0"/>
          <w:lang w:val="fr-FR"/>
        </w:rPr>
        <w:t>tre utilis</w:t>
      </w:r>
      <w:r>
        <w:rPr>
          <w:color w:val="b51a00"/>
          <w:rtl w:val="0"/>
          <w:lang w:val="fr-FR"/>
        </w:rPr>
        <w:t xml:space="preserve">é </w:t>
      </w:r>
      <w:r>
        <w:rPr>
          <w:color w:val="b51a00"/>
          <w:rtl w:val="0"/>
          <w:lang w:val="fr-FR"/>
        </w:rPr>
        <w:t>si on fait une carte en cercles proportionnels.</w:t>
      </w: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</w:pPr>
    </w:p>
    <w:p>
      <w:pPr>
        <w:pStyle w:val="Heading 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  <w:spacing w:before="280" w:after="120"/>
        <w:rPr>
          <w:sz w:val="28"/>
          <w:szCs w:val="28"/>
        </w:rPr>
      </w:pPr>
      <w:r>
        <w:rPr>
          <w:rtl w:val="0"/>
          <w:lang w:val="fr-FR"/>
        </w:rPr>
        <w:t>5</w:t>
        <w:tab/>
      </w:r>
      <w:r>
        <w:rPr>
          <w:sz w:val="28"/>
          <w:szCs w:val="28"/>
          <w:rtl w:val="0"/>
          <w:lang w:val="fr-FR"/>
        </w:rPr>
        <w:t>MAUP</w:t>
      </w:r>
    </w:p>
    <w:p>
      <w:pPr>
        <w:pStyle w:val="Normal.0"/>
        <w:bidi w:val="0"/>
      </w:pPr>
      <w:r>
        <w:rPr>
          <w:rtl w:val="0"/>
        </w:rPr>
        <w:t>Donnez une d</w:t>
      </w:r>
      <w:r>
        <w:rPr>
          <w:rtl w:val="0"/>
        </w:rPr>
        <w:t>é</w:t>
      </w:r>
      <w:r>
        <w:rPr>
          <w:rtl w:val="0"/>
        </w:rPr>
        <w:t>finition du MAUP, et indiquez les types de cartes th</w:t>
      </w:r>
      <w:r>
        <w:rPr>
          <w:rtl w:val="0"/>
        </w:rPr>
        <w:t>é</w:t>
      </w:r>
      <w:r>
        <w:rPr>
          <w:rtl w:val="0"/>
        </w:rPr>
        <w:t>matiques qui sont affect</w:t>
      </w:r>
      <w:r>
        <w:rPr>
          <w:rtl w:val="0"/>
        </w:rPr>
        <w:t>é</w:t>
      </w:r>
      <w:r>
        <w:rPr>
          <w:rtl w:val="0"/>
        </w:rPr>
        <w:t>es:</w:t>
      </w:r>
    </w:p>
    <w:p>
      <w:pPr>
        <w:pStyle w:val="Normal.0"/>
        <w:pBdr>
          <w:top w:val="nil"/>
          <w:left w:val="nil"/>
          <w:bottom w:val="single" w:color="000000" w:sz="2" w:space="0" w:shadow="0" w:frame="0"/>
          <w:right w:val="nil"/>
        </w:pBd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</w:tabs>
      </w:pPr>
      <w:r>
        <w:rPr>
          <w:color w:val="b51a00"/>
          <w:rtl w:val="0"/>
          <w:lang w:val="fr-FR"/>
        </w:rPr>
        <w:t xml:space="preserve">Le </w:t>
      </w:r>
      <w:r>
        <w:rPr>
          <w:color w:val="b51a00"/>
          <w:rtl w:val="0"/>
          <w:lang w:val="fr-FR"/>
        </w:rPr>
        <w:t>«</w:t>
      </w:r>
      <w:r>
        <w:rPr>
          <w:color w:val="b51a00"/>
          <w:rtl w:val="0"/>
          <w:lang w:val="fr-FR"/>
        </w:rPr>
        <w:t>Modifiable Areal Unit Problem</w:t>
      </w:r>
      <w:r>
        <w:rPr>
          <w:color w:val="b51a00"/>
          <w:rtl w:val="0"/>
          <w:lang w:val="fr-FR"/>
        </w:rPr>
        <w:t xml:space="preserve">» </w:t>
      </w:r>
      <w:r>
        <w:rPr>
          <w:color w:val="b51a00"/>
          <w:rtl w:val="0"/>
          <w:lang w:val="fr-FR"/>
        </w:rPr>
        <w:t xml:space="preserve">est un biais statistique qui affecte les valeurs de statistique descriptive (comme la moyenne, 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>cart-type etc.) en fonction du zonage choisi. Les cartes choropl</w:t>
      </w:r>
      <w:r>
        <w:rPr>
          <w:color w:val="b51a00"/>
          <w:rtl w:val="0"/>
          <w:lang w:val="fr-FR"/>
        </w:rPr>
        <w:t>è</w:t>
      </w:r>
      <w:r>
        <w:rPr>
          <w:color w:val="b51a00"/>
          <w:rtl w:val="0"/>
          <w:lang w:val="fr-FR"/>
        </w:rPr>
        <w:t xml:space="preserve">thes, </w:t>
      </w:r>
      <w:r>
        <w:rPr>
          <w:color w:val="b51a00"/>
          <w:rtl w:val="0"/>
          <w:lang w:val="fr-FR"/>
        </w:rPr>
        <w:t xml:space="preserve">à </w:t>
      </w:r>
      <w:r>
        <w:rPr>
          <w:color w:val="b51a00"/>
          <w:rtl w:val="0"/>
          <w:lang w:val="fr-FR"/>
        </w:rPr>
        <w:t>travers les polygones, sont affect</w:t>
      </w:r>
      <w:r>
        <w:rPr>
          <w:color w:val="b51a00"/>
          <w:rtl w:val="0"/>
          <w:lang w:val="fr-FR"/>
        </w:rPr>
        <w:t>é</w:t>
      </w:r>
      <w:r>
        <w:rPr>
          <w:color w:val="b51a00"/>
          <w:rtl w:val="0"/>
          <w:lang w:val="fr-FR"/>
        </w:rPr>
        <w:t>es par ce probl</w:t>
      </w:r>
      <w:r>
        <w:rPr>
          <w:color w:val="b51a00"/>
          <w:rtl w:val="0"/>
          <w:lang w:val="fr-FR"/>
        </w:rPr>
        <w:t>è</w:t>
      </w:r>
      <w:r>
        <w:rPr>
          <w:color w:val="b51a00"/>
          <w:rtl w:val="0"/>
          <w:lang w:val="fr-FR"/>
        </w:rPr>
        <w:t>me.</w:t>
      </w:r>
    </w:p>
    <w:sectPr>
      <w:headerReference w:type="default" r:id="rId10"/>
      <w:footerReference w:type="default" r:id="rId11"/>
      <w:pgSz w:w="11900" w:h="16840" w:orient="portrait"/>
      <w:pgMar w:top="1984" w:right="1701" w:bottom="1701" w:left="1984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tabs>
        <w:tab w:val="clear" w:pos="2552"/>
      </w:tabs>
    </w:pPr>
    <w:r>
      <w:drawing>
        <wp:anchor distT="57150" distB="57150" distL="57150" distR="57150" simplePos="0" relativeHeight="251658240" behindDoc="1" locked="0" layoutInCell="1" allowOverlap="1">
          <wp:simplePos x="0" y="0"/>
          <wp:positionH relativeFrom="page">
            <wp:posOffset>5674995</wp:posOffset>
          </wp:positionH>
          <wp:positionV relativeFrom="page">
            <wp:posOffset>240466</wp:posOffset>
          </wp:positionV>
          <wp:extent cx="939800" cy="469900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8.png"/>
                  <pic:cNvPicPr>
                    <a:picLocks noChangeAspect="0"/>
                  </pic:cNvPicPr>
                </pic:nvPicPr>
                <pic:blipFill>
                  <a:blip r:embed="rId1">
                    <a:extLst/>
                  </a:blip>
                  <a:srcRect l="0" t="5894" r="0" b="5659"/>
                  <a:stretch>
                    <a:fillRect/>
                  </a:stretch>
                </pic:blipFill>
                <pic:spPr>
                  <a:xfrm>
                    <a:off x="0" y="0"/>
                    <a:ext cx="939800" cy="469900"/>
                  </a:xfrm>
                  <a:prstGeom prst="rect">
                    <a:avLst/>
                  </a:prstGeom>
                  <a:ln w="9525" cap="flat">
                    <a:noFill/>
                    <a:round/>
                  </a:ln>
                  <a:effectLst/>
                </pic:spPr>
              </pic:pic>
            </a:graphicData>
          </a:graphic>
        </wp:anchor>
      </w:drawing>
    </w:r>
    <w:r>
      <w:rPr>
        <w:rtl w:val="0"/>
        <w:lang w:val="fr-FR"/>
      </w:rPr>
      <w:t xml:space="preserve">Cartographie </w:t>
    </w:r>
    <w:r>
      <w:rPr>
        <w:rtl w:val="0"/>
        <w:lang w:val="fr-FR"/>
      </w:rPr>
      <w:t>&amp; SIG</w: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left" w:pos="2552"/>
        <w:tab w:val="right" w:pos="904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fr-FR"/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right" w:pos="8215"/>
        <w:tab w:val="right" w:pos="904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16"/>
      <w:szCs w:val="16"/>
      <w:u w:val="none"/>
      <w:vertAlign w:val="baseline"/>
      <w:lang w:val="fr-FR"/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600" w:after="600" w:line="240" w:lineRule="auto"/>
      <w:ind w:left="0" w:right="0" w:firstLine="0"/>
      <w:jc w:val="left"/>
      <w:outlineLvl w:val="0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8"/>
      <w:szCs w:val="48"/>
      <w:u w:val="none"/>
      <w:vertAlign w:val="baseline"/>
      <w:lang w:val="fr-FR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fr-FR"/>
    </w:rPr>
  </w:style>
  <w:style w:type="paragraph" w:styleId="Liste définitions">
    <w:name w:val="Liste définitions"/>
    <w:next w:val="Liste définition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2552" w:right="0" w:hanging="2551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fr-FR"/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tabs>
        <w:tab w:val="left" w:pos="284"/>
      </w:tabs>
      <w:suppressAutoHyphens w:val="0"/>
      <w:bidi w:val="0"/>
      <w:spacing w:before="480" w:after="200" w:line="288" w:lineRule="auto"/>
      <w:ind w:left="0" w:right="0" w:firstLine="0"/>
      <w:jc w:val="both"/>
      <w:outlineLvl w:val="1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vertAlign w:val="baseline"/>
      <w:lang w:val="fr-FR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88" w:lineRule="auto"/>
      <w:ind w:left="0" w:right="0" w:firstLine="0"/>
      <w:jc w:val="both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fr-FR"/>
    </w:rPr>
  </w:style>
  <w:style w:type="paragraph" w:styleId="Free Form">
    <w:name w:val="Free Form"/>
    <w:next w:val="Free Form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Calibri"/>
        <a:ea typeface="Calibri"/>
        <a:cs typeface="Calibri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49580" rtl="0" fontAlgn="auto" latinLnBrk="0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j-lt"/>
            <a:ea typeface="+mj-ea"/>
            <a:cs typeface="+mj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15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