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Results, 2024-2025</w:t>
      </w:r>
    </w:p>
    <w:p>
      <w:r>
        <w:t>Revenue grew from $4.12M in 2024 Q1 to $5.88M in 2025 Q4, an increase of 43% over eight quarters.</w:t>
      </w:r>
    </w:p>
    <w:p>
      <w:r>
        <w:t>Margin has been steady between 28% and 37%. The fourth quarter is the strongest in both years, which is worth keeping in mind when comparing any single quarter against the one before it.</w:t>
      </w:r>
    </w:p>
    <w:p>
      <w:r>
        <w:t>The figures here are invented for teaching purposes.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20"/>
              </w:rPr>
              <w:t>Quarter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Revenue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Margin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2024 Q1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2.80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32.0%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2024 Q2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4.38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2.95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32.6%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2024 Q3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2.88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28.9%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2024 Q4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5.21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3.40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34.7%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2025 Q1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4.66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33.3%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2025 Q2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4.91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34.0%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2025 Q3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4.74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3.19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32.7%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2025 Q4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5.88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3.72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36.7%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