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shd w:fill="1F3864" w:val="clear"/>
            <w:tcMar>
              <w:top w:type="dxa" w:w="26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MÉTODO ORP</w:t>
            </w:r>
          </w:p>
          <w:p>
            <w:pPr>
              <w:jc w:val="center"/>
            </w:pPr>
            <w:r>
              <w:rPr>
                <w:i/>
                <w:iCs/>
                <w:color w:val="D9D9D9"/>
                <w:sz w:val="22"/>
                <w:szCs w:val="22"/>
              </w:rPr>
              <w:t xml:space="preserve">Organização da Pesquisa Científica com Inteligência Artificial</w:t>
            </w:r>
          </w:p>
        </w:tc>
      </w:tr>
    </w:tbl>
    <w:p>
      <w:pPr>
        <w:spacing w:after="160"/>
      </w:pPr>
    </w:p>
    <w:p>
      <w:pPr>
        <w:spacing w:after="260"/>
        <w:jc w:val="center"/>
      </w:pPr>
      <w:r>
        <w:rPr>
          <w:color w:val="595959"/>
          <w:sz w:val="20"/>
          <w:szCs w:val="20"/>
        </w:rPr>
        <w:t xml:space="preserve">Um método para organizar artigos, dissertações, teses e livros com apoio de IA — </w:t>
      </w:r>
      <w:r>
        <w:rPr>
          <w:b/>
          <w:bCs/>
          <w:color w:val="595959"/>
          <w:sz w:val="20"/>
          <w:szCs w:val="20"/>
        </w:rPr>
        <w:t xml:space="preserve">sem terceirizar o pensamento.</w:t>
      </w:r>
    </w:p>
    <w:p>
      <w:pPr>
        <w:pBdr>
          <w:top w:val="single" w:color="1F3864" w:sz="4" w:space="10"/>
          <w:bottom w:val="single" w:color="1F3864" w:sz="4" w:space="10"/>
        </w:pBdr>
        <w:spacing w:after="60" w:before="60"/>
        <w:jc w:val="center"/>
      </w:pPr>
      <w:r>
        <w:rPr>
          <w:b/>
          <w:bCs/>
          <w:i/>
          <w:iCs/>
          <w:color w:val="1F3864"/>
          <w:sz w:val="26"/>
          <w:szCs w:val="26"/>
        </w:rPr>
        <w:t xml:space="preserve">“A Inteligência Artificial organiza, compara, resume e aponta padrões — mas não pensa no lugar do pesquisador.”</w:t>
      </w:r>
    </w:p>
    <w:p>
      <w:pPr>
        <w:spacing w:after="2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300"/>
        <w:gridCol w:w="4410"/>
      </w:tblGrid>
      <w:tr>
        <w:tc>
          <w:tcPr>
            <w:tcW w:type="dxa" w:w="4550"/>
            <w:shd w:fill="F2F2F2" w:val="clear"/>
            <w:tcMar>
              <w:top w:type="dxa" w:w="0"/>
              <w:left w:type="dxa" w:w="160"/>
              <w:bottom w:type="dxa" w:w="160"/>
              <w:right w:type="dxa" w:w="160"/>
            </w:tcMar>
          </w:tcPr>
          <w:p>
            <w:pPr>
              <w:shd w:fill="8A6D00" w:val="clear"/>
              <w:spacing w:after="140" w:before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 IA ORIENTA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202020"/>
              </w:rPr>
              <w:t xml:space="preserve">✓  </w:t>
            </w:r>
            <w:r>
              <w:rPr>
                <w:color w:val="202020"/>
              </w:rPr>
              <w:t xml:space="preserve">Organiza acervos de livros e artigos por eixos temáticos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202020"/>
              </w:rPr>
              <w:t xml:space="preserve">✓  </w:t>
            </w:r>
            <w:r>
              <w:rPr>
                <w:color w:val="202020"/>
              </w:rPr>
              <w:t xml:space="preserve">Mapeia conceitos, autores centrais, lacunas e contradições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202020"/>
              </w:rPr>
              <w:t xml:space="preserve">✓  </w:t>
            </w:r>
            <w:r>
              <w:rPr>
                <w:color w:val="202020"/>
              </w:rPr>
              <w:t xml:space="preserve">Reúne a matéria-prima para o problema de pesquisa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202020"/>
              </w:rPr>
              <w:t xml:space="preserve">✓  </w:t>
            </w:r>
            <w:r>
              <w:rPr>
                <w:color w:val="202020"/>
              </w:rPr>
              <w:t xml:space="preserve">Estrutura a escrita em blocos lógicos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202020"/>
              </w:rPr>
              <w:t xml:space="preserve">✓  </w:t>
            </w:r>
            <w:r>
              <w:rPr>
                <w:color w:val="202020"/>
              </w:rPr>
              <w:t xml:space="preserve">Revisa coerência e sustentação teórica do texto já escrito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10"/>
            <w:shd w:fill="F7EDEE" w:val="clear"/>
            <w:tcMar>
              <w:top w:type="dxa" w:w="0"/>
              <w:left w:type="dxa" w:w="160"/>
              <w:bottom w:type="dxa" w:w="160"/>
              <w:right w:type="dxa" w:w="160"/>
            </w:tcMar>
          </w:tcPr>
          <w:p>
            <w:pPr>
              <w:shd w:fill="7A1F2B" w:val="clear"/>
              <w:spacing w:after="140" w:before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 IA NÃO ESCREVE POR VOCÊ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7A1F2B"/>
              </w:rPr>
              <w:t xml:space="preserve">✕  </w:t>
            </w:r>
            <w:r>
              <w:rPr>
                <w:color w:val="7A1F2B"/>
              </w:rPr>
              <w:t xml:space="preserve">Não redige o texto acadêmico no lugar do pesquisador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7A1F2B"/>
              </w:rPr>
              <w:t xml:space="preserve">✕  </w:t>
            </w:r>
            <w:r>
              <w:rPr>
                <w:color w:val="7A1F2B"/>
              </w:rPr>
              <w:t xml:space="preserve">Não formula a tese, a hipótese ou a conclusão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7A1F2B"/>
              </w:rPr>
              <w:t xml:space="preserve">✕  </w:t>
            </w:r>
            <w:r>
              <w:rPr>
                <w:color w:val="7A1F2B"/>
              </w:rPr>
              <w:t xml:space="preserve">Não decide qual argumento defender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7A1F2B"/>
              </w:rPr>
              <w:t xml:space="preserve">✕  </w:t>
            </w:r>
            <w:r>
              <w:rPr>
                <w:color w:val="7A1F2B"/>
              </w:rPr>
              <w:t xml:space="preserve">Não substitui a leitura crítica das fontes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7A1F2B"/>
              </w:rPr>
              <w:t xml:space="preserve">✕  </w:t>
            </w:r>
            <w:r>
              <w:rPr>
                <w:color w:val="7A1F2B"/>
              </w:rPr>
              <w:t xml:space="preserve">Não interpreta em lugar de quem pesquisa</w:t>
            </w:r>
          </w:p>
        </w:tc>
      </w:tr>
    </w:tbl>
    <w:p>
      <w:pPr>
        <w:spacing w:after="240"/>
      </w:pPr>
    </w:p>
    <w:p>
      <w:pPr>
        <w:spacing w:after="260"/>
        <w:jc w:val="center"/>
      </w:pPr>
      <w:r>
        <w:rPr>
          <w:b/>
          <w:bCs/>
          <w:color w:val="1F3864"/>
          <w:sz w:val="20"/>
          <w:szCs w:val="20"/>
        </w:rPr>
        <w:t xml:space="preserve">COMO FUNCIONA:  </w:t>
      </w:r>
      <w:r>
        <w:rPr>
          <w:color w:val="202020"/>
          <w:sz w:val="20"/>
          <w:szCs w:val="20"/>
        </w:rPr>
        <w:t xml:space="preserve">9 fases  ·  do acervo bruto à revisão final  ·  fichário com 20 prompts prontos  ·  qualquer área do conhecimento</w:t>
      </w:r>
    </w:p>
    <w:p>
      <w:pPr>
        <w:pBdr>
          <w:top w:val="single" w:color="B7B7B7" w:sz="4" w:space="6"/>
        </w:pBdr>
        <w:spacing w:after="160" w:before="60"/>
      </w:pPr>
      <w:r>
        <w:t xml:space="preserve"/>
      </w:r>
    </w:p>
    <w:p>
      <w:pPr>
        <w:spacing w:after="100"/>
        <w:jc w:val="center"/>
      </w:pPr>
      <w:r>
        <w:rPr>
          <w:i/>
          <w:iCs/>
          <w:color w:val="595959"/>
          <w:sz w:val="20"/>
          <w:szCs w:val="20"/>
        </w:rPr>
        <w:t xml:space="preserve">Quer o manual completo — método detalhado, fichário de prompts e guia de organização no Obsidian?</w:t>
      </w:r>
    </w:p>
    <w:p>
      <w:pPr>
        <w:spacing w:after="26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Peça com quem te enviou este card.</w:t>
      </w:r>
    </w:p>
    <w:p>
      <w:pPr>
        <w:spacing w:after="0"/>
        <w:jc w:val="center"/>
      </w:pPr>
      <w:r>
        <w:rPr>
          <w:i/>
          <w:iCs/>
          <w:color w:val="595959"/>
          <w:sz w:val="18"/>
          <w:szCs w:val="18"/>
        </w:rPr>
        <w:t xml:space="preserve">Sistematização metodológica organizada por Kerson Kleber Espínola Pereira.</w:t>
      </w:r>
    </w:p>
    <w:p>
      <w:pPr>
        <w:pBdr>
          <w:top w:val="single" w:sz="6" w:space="4" w:color="1F3864"/>
          <w:left w:val="single" w:sz="6" w:space="4" w:color="1F3864"/>
          <w:bottom w:val="single" w:sz="6" w:space="4" w:color="1F3864"/>
          <w:right w:val="single" w:sz="6" w:space="4" w:color="1F3864"/>
        </w:pBdr>
        <w:spacing w:before="120" w:after="120"/>
        <w:jc w:val="center"/>
      </w:pPr>
      <w:r>
        <w:rPr>
          <w:b/>
          <w:bCs/>
          <w:color w:val="1F3864"/>
          <w:sz w:val="18"/>
          <w:szCs w:val="18"/>
        </w:rPr>
        <w:t xml:space="preserve">CC   BY   NC   SA   4.0</w:t>
      </w:r>
    </w:p>
    <w:p>
      <w:pPr>
        <w:spacing w:before="100" w:after="40"/>
        <w:jc w:val="center"/>
      </w:pPr>
      <w:r>
        <w:rPr>
          <w:b/>
          <w:bCs/>
          <w:color w:val="7A1F2B"/>
          <w:sz w:val="18"/>
          <w:szCs w:val="18"/>
        </w:rPr>
        <w:t xml:space="preserve">Material 100% gratuito · uso comercial proibido</w:t>
      </w:r>
    </w:p>
    <w:p>
      <w:pPr>
        <w:spacing w:before="0" w:after="40"/>
        <w:jc w:val="center"/>
      </w:pPr>
      <w:r>
        <w:rPr>
          <w:i/>
          <w:iCs/>
          <w:color w:val="595959"/>
          <w:sz w:val="17"/>
          <w:szCs w:val="17"/>
        </w:rPr>
        <w:t xml:space="preserve">Licenciado sob CC BY-NC-SA 4.0 — compartilhe e adapte, mantendo o crédito ao sistematizador e a mesma licença.</w:t>
      </w:r>
    </w:p>
    <w:p>
      <w:pPr>
        <w:spacing w:before="0" w:after="0"/>
        <w:jc w:val="center"/>
      </w:pPr>
      <w:r>
        <w:rPr>
          <w:color w:val="1F3864"/>
          <w:sz w:val="17"/>
          <w:szCs w:val="17"/>
        </w:rPr>
        <w:t xml:space="preserve">creativecommons.org/licenses/by-nc-sa/4.0</w:t>
      </w:r>
    </w:p>
    <w:p>
      <w:pPr>
        <w:spacing w:before="60" w:after="0"/>
        <w:jc w:val="center"/>
      </w:pPr>
      <w:r>
        <w:rPr>
          <w:b/>
          <w:bCs/>
          <w:color w:val="1F3864"/>
          <w:sz w:val="17"/>
          <w:szCs w:val="17"/>
        </w:rPr>
        <w:t xml:space="preserve">DOI: </w:t>
      </w:r>
      <w:r>
        <w:rPr>
          <w:color w:val="1F3864"/>
          <w:sz w:val="17"/>
          <w:szCs w:val="17"/>
        </w:rPr>
        <w:t xml:space="preserve">10.5281/zenodo.21367100 — https://doi.org/10.5281/zenodo.21367100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2026-07-14T00:29:28.929Z</dcterms:created>
  <dcterms:modified xsi:type="dcterms:W3CDTF">2026-07-14T00:29:28.941Z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