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ЛР2 — Конспект для защиты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Что сделано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В Postman протестирован публичный REST API JokeAPI (https://v2.jokeapi.dev), вариант 9. Созданы коллекция «JokeAPI Lab2» и окружение с переменной base_url. Выполнено 12 сценариев: 5 позитивных и 7 негативных.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Проверены GET /joke/Any, /joke/Programming, /info и параметры amount, idRange, blacklistFlags. В after-response скрипте API-02-01 id шутки сохраняется в collection variable joke_id, затем API-02-05 получает шутку с этим id через idRange — это параметризация цепочки запросов.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Итог: 9 Pass и 3 Fail. Выявлены особенности API: amount=11 молча ограничивается до 10, amount=-5 игнорируется; POST /joke/Any возвращает 400 и HTML вместо ожидаемого 405/JSON.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Как демонстрировать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1. Открыть ЛР2/Отчет_ЛР2.docx. 2. Показать список запросов коллекции и переменную base_url. 3. Открыть скриншоты ЛР2/screenshots/postman_01_any_tests.png и postman_05_idrange_param.png, объяснить сохранение и использование joke_id. 4. Показать негативный API-02-06 с неверной категорией FooBar и кодом 106. 5. Показать API-02-07 и API-02-12 как примеры расхождения ожидаемого и фактического поведения.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Термины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REST API — интерфейс взаимодействия по HTTP-ресурсам. Endpoint — адрес и метод операции. JSON — формат тела ответа. HTTP status code описывает результат обработки запроса. Контракт API определяет формат запросов, ответов и ошибки. Postman Tests — JavaScript-проверки, исполняемые после получения ответа.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Возможные вопросы и ответы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В: Зачем использовать окружение Postman?
О: Чтобы не дублировать базовый URL в запросах и быстро переключать стенды без изменения коллекции.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В: Как проверяется риск неверной категории?
О: Валидная Programming должна вернуть 200 и category=Programming; FooBar — ошибку 400, error=true и код 106.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В: Почему amount=11 отмечен как Fail, хотя сервер ответил 200?
О: Ожидалась явная ошибка валидации 400. Молчаливое изменение пользовательского значения делает интеграцию менее предсказуемой.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В: Почему HTML в ошибке — риск?
О: Клиент ожидает JSON и может не суметь распарсить HTML. Формат ошибок должен быть единообразным и описанным в контракте.</w:t>
      </w:r>
    </w:p>
    <w:sectPr>
      <w:footerReference w:type="default" r:id="rId2"/>
      <w:pgSz w:w="11906" w:h="16838"/>
      <w:pgMar w:top="1134" w:right="850" w:bottom="1134" w:left="1701" w:header="708" w:footer="708" w:gutter="0"/>
      <w:titlePg/>
    </w:sectPr>
  </w:body>
</w:document>
</file>

<file path=word/footer1.xml><?xml version="1.0" encoding="utf-8"?>
<w:ftr xmlns:w="http://schemas.openxmlformats.org/wordprocessingml/2006/main">
  <w:p>
    <w:pPr>
      <w:spacing w:before="120" w:after="120" w:line="240" w:lineRule="auto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8"/>
        <w:szCs w:val="28"/>
        <w:lang w:val="ru-RU"/>
      </w:rPr>
    </w:rPrDefault>
    <w:pPrDefault>
      <w:pPr>
        <w:spacing w:before="120" w:after="120" w:line="24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footer" Target="footer1.xml"/>
</Relationships>
</file>