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«Знакомство с HTML»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Сафронова М.А.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«Знакомство с HTML»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Цель: изучить структуру HTML-документа, принципы создания списков, таблиц и гиперссылок, а также особенности применения тегов span и div.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Валидный документ HTML5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 HTML5-документ о полярном сиянии. В документе применены корректная структура страницы, метаданные, заголовки, элементы логического и физического форматирования, цитаты, исправления и листинг кода.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Отображение HTML5-документа первого задания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Моя первая страница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Создана страница с заголовками, тремя тематическими абзацами, списком аппаратных компонентов и таблицей результатов. Для форматирования использованы теги font и span; имя автора оформлено как ссылка на вторую страницу.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Отображение страницы второго задания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Моя вторая страница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Создана вторая HTML-страница с двумя блоками div, изображением-ссылкой и авторской подписью в элементе span. Страница связана с первым заданием относительной ссылкой.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— Отображение страницы третьего задания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освоены базовая структура HTML5-документа, метаданные, заголовки, списки, таблицы, гиперссылки, а также строчные и блочные элементы span и div.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1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документа первого задания (1.1.html)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content="Физика и природа полярных сияний: спектральный анализ, возбуждение газов и наблюдение явления"&gt;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name="keywords" content="полярное сияние, ионосфера, солнечный ветер, физика атмосферы, кислород, азот"&gt;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content="Википедия (научно-популярный обзор)"&gt;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&lt;title&gt;Природное явление: Полярное сияние&lt;/title&gt;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Вводная часть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&lt;h1&gt;Атмосферное явление: Полярное сияние&lt;/h1&gt;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&lt;p&gt;&lt;small&gt;Категория: Геофизика | Последняя модификация: 2026 год&lt;/small&gt;&lt;/p&gt;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Секция 1: Определение и физическая природа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&lt;h2&gt;1. Физическая природа и механизмы свечения&lt;/h2&gt;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&lt;b&gt;Полярное сияние&lt;/b&gt; (&lt;i&gt;aurora borealis&lt;/i&gt; и &lt;i&gt;aurora australis&lt;/i&gt;) —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свечение верхних слоёв атмосферы планет, обладающих магнитосферой,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вследствие их взаимодействия с заряженными частицами &lt;strong&gt;солнечного ветра&lt;/strong&gt;.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Взаимодействие происходит преимущественно на высотах от 80 до сотен километров.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Возбуждённые атомы кислорода испускают фотоны с характерной длиной волны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&lt;var&gt;&amp;lambda;&lt;/var&gt; = 557,7 нм (зелёный цвет) и 630,0 нм (красный цвет).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 составе земной атмосферы преобладают молекулы N&lt;sub&gt;2&lt;/sub&gt; и O&lt;sub&gt;2&lt;/sub&gt;,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 суммарная кинетическая энергия потока описывается формулой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&lt;code&gt;E = m&amp;sdot;v&lt;sup&gt;2&lt;/sup&gt; / 2&lt;/code&gt;.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 международной литературе используется определение термина: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&lt;dfn&gt;&lt;abbr title="Atmospheric Optical Phenomenon"&gt;Аврора&lt;/abbr&gt;&lt;/dfn&gt; — оптическое явление в ионосфере.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Секция 2: Исторические гипотезы и цитаты исследователей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&lt;h2&gt;2. Исследования и хронология гипотез&lt;/h2&gt;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Русский учёный &lt;cite&gt;Михаил Васильевич Ломоносов&lt;/cite&gt; первым доказал электрическую природу явления,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записав в своём труде: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&lt;q lang="ru"&gt;Не спорьте, физики, о северном сияньи: там искры сыплются от пламенных стихий.&lt;/q&gt;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 истории метеорологии теории претерпевали значительные изменения: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ранее считалось, что свечение возникает &lt;del datetime="2026-01-15"&gt;из-за отражения солнечных лучей от полярных льдов&lt;/del&gt;,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однако позже было доказано: &lt;ins datetime="2026-02-01"&gt;оно вызвано бомбардировкой атмосферы протонами и электронами&lt;/ins&gt;.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Старые оптические мифы были &lt;s&gt;опровергнуты спектрометрией&lt;/s&gt;,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 электродинамическая модель — &lt;u&gt;экспериментально подтверждена со спутников&lt;/u&gt;.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Секция 3: Компьютерное моделирование и параметры наблюдения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&lt;h2&gt;3. Программный расчёт Kp-индекса и фиксация данных&lt;/h2&gt;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Для запуска геомагнитной симуляции операторы станции нажимают комбинацию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&lt;kbd&gt;Ctrl&lt;/kbd&gt; + &lt;kbd&gt;F5&lt;/kbd&gt;.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Условие вероятности появления сияния в средних широтах в коде мониторинга записывается следующим образом: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&lt;pre&gt;&lt;code&gt;// Расчёт порога видимости: проверка индекса возмущения &amp;amp; пороговых констант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(kpIndex &amp;gt;= 5 &amp;amp;&amp;amp; solarWindSpeed &amp;gt; 500)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status = "Aurora Alert: Высокая вероятность сияния!";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triggerCameraCapture(&amp;lt;sensor_id&amp;gt;);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}&lt;/code&gt;&lt;/pre&gt;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Лог телеметрии детектора возвращает значение: &lt;samp&gt;Geomagnetic Storm: G2 Detected&lt;/samp&gt;.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&lt;p&gt;&lt;small&gt;Материал адаптирован из свободной энциклопедии. Документ валиден по стандарту HTML5.&lt;/small&gt;&lt;/p&gt;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2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второго задания (first.html)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&lt;title&gt;Моя первая страница&lt;/title&gt;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Заголовок h1 по центру. ФИО оформлено ссылкой на second.html (Задание 3), HTML выделен цветом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 align="center"&gt;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Я, &lt;a href="second.html"&gt;Лаукерт Кирилл Максимович&lt;/a&gt;, &lt;span style="color: #d32f2f;"&gt;HTML&lt;/span&gt;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Общий заголовок h2 для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&lt;h2&gt;Архитектура современных вычислительных систем&lt;/h2&gt;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Абзац 1 --&gt;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&lt;h3&gt;1. Процессор и логика вычислений&lt;/h3&gt;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&lt;font face="Verdana" size="3" color="#0d47a1"&gt;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Центральный процессор выполняет машинные инструкции и координирует работу внутренних узлов вычислительной машины.&lt;br&gt;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Его ключевыми функциональными узлами выступают регистровые файлы и &lt;span style="background-color: #fff59d; font-weight: bold;"&gt;арифметико-логические устройства&lt;/span&gt;.&lt;br&gt;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Для увеличения скорости обработки инструкций разработчики применяют многоуровневый конвейер и векторные расширения.&lt;br&gt;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Вся работа чипа синхронизируется высокочастотным тактовым генератором материнской платы.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&lt;/font&gt;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Абзац 2 --&gt;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&lt;h3&gt;2. Иерархия подсистемы памяти&lt;/h3&gt;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&lt;font face="Georgia" size="4" color="#1b5e20"&gt;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Организация подсистемы хранения данных базируется на принципе строгого разделения по скорости и емкости накопителей.&lt;br&gt;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На верхнем уровне располагаются сверхоперативные регистры и &lt;span style="border-bottom: 2px solid #2e7d32;"&gt;многоуровневый кэш SRAM&lt;/span&gt;.&lt;br&gt;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Следом идет динамическая оперативная память, передающая массивы инструкций прямо в конвейер кристалла.&lt;br&gt;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Постоянное хранение гарантируют твердотельные накопители NVMe и классические магнитные жесткие диски.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&lt;/font&gt;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Абзац 3 --&gt;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&lt;h3&gt;3. Коммуникации и внешние интерфейсы&lt;/h3&gt;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&lt;font face="Arial" size="2" color="#4a148c"&gt;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Взаимодействие между центральными компонентами и платами расширения обеспечивается скоростными системными шинами.&lt;br&gt;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Контроллеры ввода-вывода распределяют прерывания от оборудования и управляют &lt;span style="color: #c2185b; font-style: italic;"&gt;потоками прямого доступа к памяти&lt;/span&gt;.&lt;br&gt;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Современные шинные стандарты PCI Express гарантируют высокую пропускную способность для видеокарт и ускорителей.&lt;br&gt;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Ниже представлена детальная классификация всех аппаратных модулей типового персонального компьютера.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&lt;/font&gt;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Заголовок h2 перед списком, логически вытекающий из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&lt;h2&gt;Аппаратные компоненты и периферийные модули ЭВМ&lt;/h2&gt;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Иерархический список по шаблону задания: 1 -&gt; (circle), 2 -&gt; (disc), 3 -&gt; (disc)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&lt;ol&gt;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&lt;li&gt;Вычислительное ядро процессора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 type="circle"&gt;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&lt;li&gt;Арифметико-логическое устройство (ALU)&lt;/li&gt;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&lt;li&gt;Блок управления и регистровая память&lt;/li&gt;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&lt;li&gt;Иерархическая структура памяти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 type="disc"&gt;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&lt;li&gt;Статическая кэш-память (L1, L2, L3)&lt;/li&gt;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&lt;li&gt;Оперативная системная память (DRAM)&lt;/li&gt;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&lt;li&gt;Энергонезависимые накопители (SSD и HDD)&lt;/li&gt;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&lt;li&gt;Интерфейсы связи и периферия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 type="disc"&gt;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&lt;li&gt;Системные линии шины PCI Express&lt;/li&gt;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&lt;li&gt;Внешние контроллеры ввода-вывода (USB, Thunderbolt)&lt;/li&gt;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&lt;/ol&gt;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Заголовок h2 перед таблицей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&lt;h2&gt;Результаты сессии&lt;/h2&gt;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Таблица результатов сессии (Задания 1 и 3)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&lt;table border="1" cellpadding="6" cellspacing="0" width="500"&gt;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rowspan="2" align="center" valign="middle" width="140"&gt;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&lt;img src="photo_2026-09-10_13-59-51.jpg" alt="Фото студента" width="90" height="90"&gt;&lt;br&gt;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Свое фото/Аватарка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&lt;strong&gt;ФИО:&lt;/strong&gt; &lt;a href="second.html"&gt;Лаукерт Кирилл Максимович&lt;/a&gt;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&lt;strong&gt;Адрес:&lt;/strong&gt; ул.Пушкина, д.Колотушкина, кв.67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colspan="2"&gt;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&lt;strong&gt;Группа:&lt;/strong&gt; 220032-11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 bgcolor="#eeeeee"&gt;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&lt;th align="center"&gt;Дата&lt;/th&gt;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&lt;th align="center"&gt;Предмет&lt;/th&gt;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&lt;th align="center"&gt;Оценка&lt;/th&gt;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align="center"&gt;31.12.2022&lt;/td&gt;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&lt;td&gt;Информатика&lt;/td&gt;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align="center"&gt;6&lt;/td&gt;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align="center"&gt;05.01.2022&lt;/td&gt;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&lt;td&gt;Физика&lt;/td&gt;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align="center"&gt;9&lt;/td&gt;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align="center"&gt;11.01.2022&lt;/td&gt;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&lt;td&gt;ОИТ&lt;/td&gt;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align="center"&gt;4&lt;/td&gt;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align="center"&gt;16.01.2022&lt;/td&gt;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&lt;td&gt;Математика&lt;/td&gt;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align="center"&gt;6&lt;/td&gt;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align="center"&gt;22.01.2023&lt;/td&gt;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&lt;td&gt;Иностранный язык&lt;/td&gt;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&lt;td align="center"&gt;8&lt;/td&gt;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3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третьего задания (second.html)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&lt;title&gt;Моя вторая страница&lt;/title&gt;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Заголовок h3 перед первым блоком div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&lt;h3&gt;Особенности блочной верстки (Тег div)&lt;/h3&gt;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style="background-color: #f4f6f9; padding: 12px; border-left: 4px solid #0056b3; margin-bottom: 20px;"&gt;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Тег &amp;lt;div&amp;gt; является базовым блочным элементом разметки HTML. Он всегда начинается с новой строки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и занимает всю доступную ширину родительского контейнера. Блоки широко используются для логической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группировки разделов страницы, построения сеток и комплексного управления внешним видом контента с помощью стилей.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Заголовок h3 перед вторым блоком div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&lt;h3&gt;Особенности строчной разметки (Тег span)&lt;/h3&gt;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style="background-color: #fff9e6; padding: 12px; border-left: 4px solid #ff9900; margin-bottom: 20px;"&gt;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В отличие от блоков, тег &amp;lt;span&amp;gt; предназначен исключительно для строчных элементов. Он не создает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переноса строк и охватывает только ту область, которую занимает заключенный в него текст. Это позволяет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точечно стилизовать отдельные фрагменты предложений, символы, даты или авторские подписи.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Заголовок h2 перед рисунком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&lt;h2&gt;Галерея иллюстраций&lt;/h2&gt;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Рисунок, являющийся гиперссылкой на первую страницу first.html (Задание 3)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&lt;a href="first.html" title="Нажмите на рисунок, чтобы вернуться на первую страницу"&gt;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&lt;img src="photo_2026-09-10_13-48-33.jpg"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alt="Иллюстрация к лабораторной работе"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width="350"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height="180"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border="2"&gt;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&lt;p&gt;&lt;small&gt;(Кликните по изображению выше, чтобы вернуться на «Мою первую страницу»)&lt;/small&gt;&lt;/p&gt;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Элемент span с авторским знаком © и ФИО автора (Задание 2)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&lt;span style="font-weight: bold; color: #555555;"&gt;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&amp;copy; Лаукерт Кирилл Максимович, 2026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&lt;/span&gt;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/Relationships>
</file>