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caps/>
          <w:color w:val="595959"/>
          <w:sz w:val="26"/>
          <w:szCs w:val="26"/>
        </w:rPr>
        <w:t xml:space="preserve">ANNEXE</w:t>
      </w:r>
    </w:p>
    <w:p>
      <w:pPr>
        <w:spacing w:after="160"/>
      </w:pPr>
      <w:r>
        <w:rPr>
          <w:rFonts w:ascii="Calibri" w:cs="Calibri" w:eastAsia="Calibri" w:hAnsi="Calibri"/>
          <w:color w:val="1F4E79"/>
          <w:sz w:val="52"/>
          <w:szCs w:val="52"/>
        </w:rPr>
        <w:t xml:space="preserve">Traînée des aspérités de surface</w:t>
      </w:r>
    </w:p>
    <w:p>
      <w:pPr>
        <w:spacing w:after="420"/>
      </w:pPr>
      <w:r>
        <w:rPr>
          <w:rFonts w:ascii="Calibri" w:cs="Calibri" w:eastAsia="Calibri" w:hAnsi="Calibri"/>
          <w:color w:val="595959"/>
          <w:sz w:val="30"/>
          <w:szCs w:val="30"/>
        </w:rPr>
        <w:t xml:space="preserve">Marche montante, marche descendante et arête</w:t>
      </w:r>
    </w:p>
    <w:p>
      <w:pPr>
        <w:spacing w:after="140" w:line="276"/>
        <w:jc w:val="both"/>
      </w:pPr>
      <w:r>
        <w:rPr>
          <w:rFonts w:ascii="Calibri" w:cs="Calibri" w:eastAsia="Calibri" w:hAnsi="Calibri"/>
          <w:sz w:val="21"/>
          <w:szCs w:val="21"/>
        </w:rPr>
        <w:t xml:space="preserve">Méthode de calcul du supplément de traînée engendré par une discontinuité de surface, d’après l’AGARDograph AGARD-AG-264, </w:t>
      </w:r>
      <w:r>
        <w:rPr>
          <w:rFonts w:ascii="Calibri" w:cs="Calibri" w:eastAsia="Calibri" w:hAnsi="Calibri"/>
          <w:i/>
          <w:iCs/>
          <w:sz w:val="21"/>
          <w:szCs w:val="21"/>
        </w:rPr>
        <w:t xml:space="preserve">Aircraft Excrescence Drag</w:t>
      </w:r>
      <w:r>
        <w:rPr>
          <w:rFonts w:ascii="Calibri" w:cs="Calibri" w:eastAsia="Calibri" w:hAnsi="Calibri"/>
          <w:sz w:val="21"/>
          <w:szCs w:val="21"/>
        </w:rPr>
        <w:t xml:space="preserve"> (A. D. Young et J. H. Paterson, AGARD/OTAN, juillet 1981), § 4.3.</w:t>
      </w:r>
    </w:p>
    <w:p>
      <w:pPr>
        <w:spacing w:after="140" w:line="276"/>
        <w:jc w:val="both"/>
      </w:pPr>
      <w:r>
        <w:rPr>
          <w:rFonts w:ascii="Calibri" w:cs="Calibri" w:eastAsia="Calibri" w:hAnsi="Calibri"/>
          <w:sz w:val="21"/>
          <w:szCs w:val="21"/>
        </w:rPr>
        <w:t xml:space="preserve">Pour chaque géométrie, cette annexe donne la planche d’origine du rapport, les valeurs qui en ont été extraites, et les formules effectivement appliquées. Le calcul est implémenté dans un script Python autonome livré avec l’annexe (§ A.10).</w:t>
      </w:r>
    </w:p>
    <w:p>
      <w:pPr>
        <w:spacing w:after="320"/>
      </w:pPr>
    </w:p>
    <w:p>
      <w:pPr>
        <w:spacing w:after="120"/>
      </w:pPr>
      <w:r>
        <w:rPr>
          <w:rFonts w:ascii="Calibri" w:cs="Calibri" w:eastAsia="Calibri" w:hAnsi="Calibri"/>
          <w:color w:val="1F4E79"/>
          <w:sz w:val="26"/>
          <w:szCs w:val="26"/>
        </w:rPr>
        <w:t xml:space="preserve">Sommaire</w:t>
      </w:r>
    </w:p>
    <w:sdt>
      <w:sdtPr>
        <w:alias w:val="Sommaire"/>
      </w:sdtPr>
      <w:sdtContent>
        <w:p>
          <w:pPr>
            <w:pStyle w:val="TOC1"/>
            <w:tabs>
              <w:tab w:val="right" w:pos="9412" w:leader="dot"/>
            </w:tabs>
          </w:pPr>
          <w:r>
            <w:fldChar w:fldCharType="begin" w:dirty="true"/>
            <w:instrText xml:space="preserve">TOC \h \o "1-2"</w:instrText>
            <w:fldChar w:fldCharType="separate"/>
          </w:r>
          <w:hyperlink w:history="1" w:anchor="_Toc1">
            <w:r>
              <w:t xml:space="preserve">A.1  Objet et principe</w:t>
            </w:r>
            <w:r>
              <w:tab/>
            </w:r>
            <w:r>
              <w:fldChar w:fldCharType="begin" w:dirty="true"/>
              <w:instrText xml:space="preserve">PAGEREF _Toc1 \h</w:instrText>
              <w:fldChar w:fldCharType="separate"/>
              <w:fldChar w:fldCharType="end"/>
            </w:r>
          </w:hyperlink>
        </w:p>
        <w:p>
          <w:pPr>
            <w:pStyle w:val="TOC1"/>
            <w:tabs>
              <w:tab w:val="right" w:pos="9412" w:leader="dot"/>
            </w:tabs>
          </w:pPr>
          <w:hyperlink w:history="1" w:anchor="_Toc2">
            <w:r>
              <w:t xml:space="preserve">A.2  Source et domaine de validité</w:t>
            </w:r>
            <w:r>
              <w:tab/>
            </w:r>
            <w:r>
              <w:fldChar w:fldCharType="begin" w:dirty="true"/>
              <w:instrText xml:space="preserve">PAGEREF _Toc2 \h</w:instrText>
              <w:fldChar w:fldCharType="separate"/>
              <w:fldChar w:fldCharType="end"/>
            </w:r>
          </w:hyperlink>
        </w:p>
        <w:p>
          <w:pPr>
            <w:pStyle w:val="TOC1"/>
            <w:tabs>
              <w:tab w:val="right" w:pos="9412" w:leader="dot"/>
            </w:tabs>
          </w:pPr>
          <w:hyperlink w:history="1" w:anchor="_Toc3">
            <w:r>
              <w:t xml:space="preserve">A.3  Comment le calcul est mené</w:t>
            </w:r>
            <w:r>
              <w:tab/>
            </w:r>
            <w:r>
              <w:fldChar w:fldCharType="begin" w:dirty="true"/>
              <w:instrText xml:space="preserve">PAGEREF _Toc3 \h</w:instrText>
              <w:fldChar w:fldCharType="separate"/>
              <w:fldChar w:fldCharType="end"/>
            </w:r>
          </w:hyperlink>
        </w:p>
        <w:p>
          <w:pPr>
            <w:pStyle w:val="TOC2"/>
            <w:tabs>
              <w:tab w:val="right" w:pos="9412" w:leader="dot"/>
            </w:tabs>
          </w:pPr>
          <w:hyperlink w:history="1" w:anchor="_Toc4">
            <w:r>
              <w:t xml:space="preserve">A.3.1  Pourquoi un nombre de Reynolds de rugosité</w:t>
            </w:r>
            <w:r>
              <w:tab/>
            </w:r>
            <w:r>
              <w:fldChar w:fldCharType="begin" w:dirty="true"/>
              <w:instrText xml:space="preserve">PAGEREF _Toc4 \h</w:instrText>
              <w:fldChar w:fldCharType="separate"/>
              <w:fldChar w:fldCharType="end"/>
            </w:r>
          </w:hyperlink>
        </w:p>
        <w:p>
          <w:pPr>
            <w:pStyle w:val="TOC2"/>
            <w:tabs>
              <w:tab w:val="right" w:pos="9412" w:leader="dot"/>
            </w:tabs>
          </w:pPr>
          <w:hyperlink w:history="1" w:anchor="_Toc5">
            <w:r>
              <w:t xml:space="preserve">A.3.2  La relation de travail</w:t>
            </w:r>
            <w:r>
              <w:tab/>
            </w:r>
            <w:r>
              <w:fldChar w:fldCharType="begin" w:dirty="true"/>
              <w:instrText xml:space="preserve">PAGEREF _Toc5 \h</w:instrText>
              <w:fldChar w:fldCharType="separate"/>
              <w:fldChar w:fldCharType="end"/>
            </w:r>
          </w:hyperlink>
        </w:p>
        <w:p>
          <w:pPr>
            <w:pStyle w:val="TOC2"/>
            <w:tabs>
              <w:tab w:val="right" w:pos="9412" w:leader="dot"/>
            </w:tabs>
          </w:pPr>
          <w:hyperlink w:history="1" w:anchor="_Toc6">
            <w:r>
              <w:t xml:space="preserve">A.3.3  Obtenir τ_w et h⁺</w:t>
            </w:r>
            <w:r>
              <w:tab/>
            </w:r>
            <w:r>
              <w:fldChar w:fldCharType="begin" w:dirty="true"/>
              <w:instrText xml:space="preserve">PAGEREF _Toc6 \h</w:instrText>
              <w:fldChar w:fldCharType="separate"/>
              <w:fldChar w:fldCharType="end"/>
            </w:r>
          </w:hyperlink>
        </w:p>
        <w:p>
          <w:pPr>
            <w:pStyle w:val="TOC2"/>
            <w:tabs>
              <w:tab w:val="right" w:pos="9412" w:leader="dot"/>
            </w:tabs>
          </w:pPr>
          <w:hyperlink w:history="1" w:anchor="_Toc7">
            <w:r>
              <w:t xml:space="preserve">A.3.4  Le déroulé, étape par étape</w:t>
            </w:r>
            <w:r>
              <w:tab/>
            </w:r>
            <w:r>
              <w:fldChar w:fldCharType="begin" w:dirty="true"/>
              <w:instrText xml:space="preserve">PAGEREF _Toc7 \h</w:instrText>
              <w:fldChar w:fldCharType="separate"/>
              <w:fldChar w:fldCharType="end"/>
            </w:r>
          </w:hyperlink>
        </w:p>
        <w:p>
          <w:pPr>
            <w:pStyle w:val="TOC1"/>
            <w:tabs>
              <w:tab w:val="right" w:pos="9412" w:leader="dot"/>
            </w:tabs>
          </w:pPr>
          <w:hyperlink w:history="1" w:anchor="_Toc8">
            <w:r>
              <w:t xml:space="preserve">A.4  Marche montante</w:t>
            </w:r>
            <w:r>
              <w:tab/>
            </w:r>
            <w:r>
              <w:fldChar w:fldCharType="begin" w:dirty="true"/>
              <w:instrText xml:space="preserve">PAGEREF _Toc8 \h</w:instrText>
              <w:fldChar w:fldCharType="separate"/>
              <w:fldChar w:fldCharType="end"/>
            </w:r>
          </w:hyperlink>
        </w:p>
        <w:p>
          <w:pPr>
            <w:pStyle w:val="TOC2"/>
            <w:tabs>
              <w:tab w:val="right" w:pos="9412" w:leader="dot"/>
            </w:tabs>
          </w:pPr>
          <w:hyperlink w:history="1" w:anchor="_Toc9">
            <w:r>
              <w:t xml:space="preserve">A.4.1  La planche d’origine</w:t>
            </w:r>
            <w:r>
              <w:tab/>
            </w:r>
            <w:r>
              <w:fldChar w:fldCharType="begin" w:dirty="true"/>
              <w:instrText xml:space="preserve">PAGEREF _Toc9 \h</w:instrText>
              <w:fldChar w:fldCharType="separate"/>
              <w:fldChar w:fldCharType="end"/>
            </w:r>
          </w:hyperlink>
        </w:p>
        <w:p>
          <w:pPr>
            <w:pStyle w:val="TOC2"/>
            <w:tabs>
              <w:tab w:val="right" w:pos="9412" w:leader="dot"/>
            </w:tabs>
          </w:pPr>
          <w:hyperlink w:history="1" w:anchor="_Toc10">
            <w:r>
              <w:t xml:space="preserve">A.4.2  Ce qui en a été extrait</w:t>
            </w:r>
            <w:r>
              <w:tab/>
            </w:r>
            <w:r>
              <w:fldChar w:fldCharType="begin" w:dirty="true"/>
              <w:instrText xml:space="preserve">PAGEREF _Toc10 \h</w:instrText>
              <w:fldChar w:fldCharType="separate"/>
              <w:fldChar w:fldCharType="end"/>
            </w:r>
          </w:hyperlink>
        </w:p>
        <w:p>
          <w:pPr>
            <w:pStyle w:val="TOC2"/>
            <w:tabs>
              <w:tab w:val="right" w:pos="9412" w:leader="dot"/>
            </w:tabs>
          </w:pPr>
          <w:hyperlink w:history="1" w:anchor="_Toc11">
            <w:r>
              <w:t xml:space="preserve">A.4.3  Les formules appliquées</w:t>
            </w:r>
            <w:r>
              <w:tab/>
            </w:r>
            <w:r>
              <w:fldChar w:fldCharType="begin" w:dirty="true"/>
              <w:instrText xml:space="preserve">PAGEREF _Toc11 \h</w:instrText>
              <w:fldChar w:fldCharType="separate"/>
              <w:fldChar w:fldCharType="end"/>
            </w:r>
          </w:hyperlink>
        </w:p>
        <w:p>
          <w:pPr>
            <w:pStyle w:val="TOC2"/>
            <w:tabs>
              <w:tab w:val="right" w:pos="9412" w:leader="dot"/>
            </w:tabs>
          </w:pPr>
          <w:hyperlink w:history="1" w:anchor="_Toc12">
            <w:r>
              <w:t xml:space="preserve">A.4.4  Le transsonique</w:t>
            </w:r>
            <w:r>
              <w:tab/>
            </w:r>
            <w:r>
              <w:fldChar w:fldCharType="begin" w:dirty="true"/>
              <w:instrText xml:space="preserve">PAGEREF _Toc12 \h</w:instrText>
              <w:fldChar w:fldCharType="separate"/>
              <w:fldChar w:fldCharType="end"/>
            </w:r>
          </w:hyperlink>
        </w:p>
        <w:p>
          <w:pPr>
            <w:pStyle w:val="TOC2"/>
            <w:tabs>
              <w:tab w:val="right" w:pos="9412" w:leader="dot"/>
            </w:tabs>
          </w:pPr>
          <w:hyperlink w:history="1" w:anchor="_Toc13">
            <w:r>
              <w:t xml:space="preserve">A.4.5  Arête adoucie : arrondi et chanfrein</w:t>
            </w:r>
            <w:r>
              <w:tab/>
            </w:r>
            <w:r>
              <w:fldChar w:fldCharType="begin" w:dirty="true"/>
              <w:instrText xml:space="preserve">PAGEREF _Toc13 \h</w:instrText>
              <w:fldChar w:fldCharType="separate"/>
              <w:fldChar w:fldCharType="end"/>
            </w:r>
          </w:hyperlink>
        </w:p>
        <w:p>
          <w:pPr>
            <w:pStyle w:val="TOC1"/>
            <w:tabs>
              <w:tab w:val="right" w:pos="9412" w:leader="dot"/>
            </w:tabs>
          </w:pPr>
          <w:hyperlink w:history="1" w:anchor="_Toc14">
            <w:r>
              <w:t xml:space="preserve">A.5  Marche descendante</w:t>
            </w:r>
            <w:r>
              <w:tab/>
            </w:r>
            <w:r>
              <w:fldChar w:fldCharType="begin" w:dirty="true"/>
              <w:instrText xml:space="preserve">PAGEREF _Toc14 \h</w:instrText>
              <w:fldChar w:fldCharType="separate"/>
              <w:fldChar w:fldCharType="end"/>
            </w:r>
          </w:hyperlink>
        </w:p>
        <w:p>
          <w:pPr>
            <w:pStyle w:val="TOC2"/>
            <w:tabs>
              <w:tab w:val="right" w:pos="9412" w:leader="dot"/>
            </w:tabs>
          </w:pPr>
          <w:hyperlink w:history="1" w:anchor="_Toc15">
            <w:r>
              <w:t xml:space="preserve">A.5.1  La planche d’origine</w:t>
            </w:r>
            <w:r>
              <w:tab/>
            </w:r>
            <w:r>
              <w:fldChar w:fldCharType="begin" w:dirty="true"/>
              <w:instrText xml:space="preserve">PAGEREF _Toc15 \h</w:instrText>
              <w:fldChar w:fldCharType="separate"/>
              <w:fldChar w:fldCharType="end"/>
            </w:r>
          </w:hyperlink>
        </w:p>
        <w:p>
          <w:pPr>
            <w:pStyle w:val="TOC2"/>
            <w:tabs>
              <w:tab w:val="right" w:pos="9412" w:leader="dot"/>
            </w:tabs>
          </w:pPr>
          <w:hyperlink w:history="1" w:anchor="_Toc16">
            <w:r>
              <w:t xml:space="preserve">A.5.2  Ce qui en a été extrait</w:t>
            </w:r>
            <w:r>
              <w:tab/>
            </w:r>
            <w:r>
              <w:fldChar w:fldCharType="begin" w:dirty="true"/>
              <w:instrText xml:space="preserve">PAGEREF _Toc16 \h</w:instrText>
              <w:fldChar w:fldCharType="separate"/>
              <w:fldChar w:fldCharType="end"/>
            </w:r>
          </w:hyperlink>
        </w:p>
        <w:p>
          <w:pPr>
            <w:pStyle w:val="TOC2"/>
            <w:tabs>
              <w:tab w:val="right" w:pos="9412" w:leader="dot"/>
            </w:tabs>
          </w:pPr>
          <w:hyperlink w:history="1" w:anchor="_Toc17">
            <w:r>
              <w:t xml:space="preserve">A.5.3  Le transsonique : un maximum, pas un plateau</w:t>
            </w:r>
            <w:r>
              <w:tab/>
            </w:r>
            <w:r>
              <w:fldChar w:fldCharType="begin" w:dirty="true"/>
              <w:instrText xml:space="preserve">PAGEREF _Toc17 \h</w:instrText>
              <w:fldChar w:fldCharType="separate"/>
              <w:fldChar w:fldCharType="end"/>
            </w:r>
          </w:hyperlink>
        </w:p>
        <w:p>
          <w:pPr>
            <w:pStyle w:val="TOC2"/>
            <w:tabs>
              <w:tab w:val="right" w:pos="9412" w:leader="dot"/>
            </w:tabs>
          </w:pPr>
          <w:hyperlink w:history="1" w:anchor="_Toc18">
            <w:r>
              <w:t xml:space="preserve">A.5.4  Arête adoucie : deux contre-intuitions</w:t>
            </w:r>
            <w:r>
              <w:tab/>
            </w:r>
            <w:r>
              <w:fldChar w:fldCharType="begin" w:dirty="true"/>
              <w:instrText xml:space="preserve">PAGEREF _Toc18 \h</w:instrText>
              <w:fldChar w:fldCharType="separate"/>
              <w:fldChar w:fldCharType="end"/>
            </w:r>
          </w:hyperlink>
        </w:p>
        <w:p>
          <w:pPr>
            <w:pStyle w:val="TOC1"/>
            <w:tabs>
              <w:tab w:val="right" w:pos="9412" w:leader="dot"/>
            </w:tabs>
          </w:pPr>
          <w:hyperlink w:history="1" w:anchor="_Toc19">
            <w:r>
              <w:t xml:space="preserve">A.6  Arête</w:t>
            </w:r>
            <w:r>
              <w:tab/>
            </w:r>
            <w:r>
              <w:fldChar w:fldCharType="begin" w:dirty="true"/>
              <w:instrText xml:space="preserve">PAGEREF _Toc19 \h</w:instrText>
              <w:fldChar w:fldCharType="separate"/>
              <w:fldChar w:fldCharType="end"/>
            </w:r>
          </w:hyperlink>
        </w:p>
        <w:p>
          <w:pPr>
            <w:pStyle w:val="TOC2"/>
            <w:tabs>
              <w:tab w:val="right" w:pos="9412" w:leader="dot"/>
            </w:tabs>
          </w:pPr>
          <w:hyperlink w:history="1" w:anchor="_Toc20">
            <w:r>
              <w:t xml:space="preserve">A.6.1  La planche d’origine</w:t>
            </w:r>
            <w:r>
              <w:tab/>
            </w:r>
            <w:r>
              <w:fldChar w:fldCharType="begin" w:dirty="true"/>
              <w:instrText xml:space="preserve">PAGEREF _Toc20 \h</w:instrText>
              <w:fldChar w:fldCharType="separate"/>
              <w:fldChar w:fldCharType="end"/>
            </w:r>
          </w:hyperlink>
        </w:p>
        <w:p>
          <w:pPr>
            <w:pStyle w:val="TOC2"/>
            <w:tabs>
              <w:tab w:val="right" w:pos="9412" w:leader="dot"/>
            </w:tabs>
          </w:pPr>
          <w:hyperlink w:history="1" w:anchor="_Toc21">
            <w:r>
              <w:t xml:space="preserve">A.6.2  Ce qui en a été extrait</w:t>
            </w:r>
            <w:r>
              <w:tab/>
            </w:r>
            <w:r>
              <w:fldChar w:fldCharType="begin" w:dirty="true"/>
              <w:instrText xml:space="preserve">PAGEREF _Toc21 \h</w:instrText>
              <w:fldChar w:fldCharType="separate"/>
              <w:fldChar w:fldCharType="end"/>
            </w:r>
          </w:hyperlink>
        </w:p>
        <w:p>
          <w:pPr>
            <w:pStyle w:val="TOC2"/>
            <w:tabs>
              <w:tab w:val="right" w:pos="9412" w:leader="dot"/>
            </w:tabs>
          </w:pPr>
          <w:hyperlink w:history="1" w:anchor="_Toc22">
            <w:r>
              <w:t xml:space="preserve">A.6.3  Transsonique et épaisseur</w:t>
            </w:r>
            <w:r>
              <w:tab/>
            </w:r>
            <w:r>
              <w:fldChar w:fldCharType="begin" w:dirty="true"/>
              <w:instrText xml:space="preserve">PAGEREF _Toc22 \h</w:instrText>
              <w:fldChar w:fldCharType="separate"/>
              <w:fldChar w:fldCharType="end"/>
            </w:r>
          </w:hyperlink>
        </w:p>
        <w:p>
          <w:pPr>
            <w:pStyle w:val="TOC2"/>
            <w:tabs>
              <w:tab w:val="right" w:pos="9412" w:leader="dot"/>
            </w:tabs>
          </w:pPr>
          <w:hyperlink w:history="1" w:anchor="_Toc23">
            <w:r>
              <w:t xml:space="preserve">A.6.4  Une arête n’est pas la somme de ses deux marches</w:t>
            </w:r>
            <w:r>
              <w:tab/>
            </w:r>
            <w:r>
              <w:fldChar w:fldCharType="begin" w:dirty="true"/>
              <w:instrText xml:space="preserve">PAGEREF _Toc23 \h</w:instrText>
              <w:fldChar w:fldCharType="separate"/>
              <w:fldChar w:fldCharType="end"/>
            </w:r>
          </w:hyperlink>
        </w:p>
        <w:p>
          <w:pPr>
            <w:pStyle w:val="TOC1"/>
            <w:tabs>
              <w:tab w:val="right" w:pos="9412" w:leader="dot"/>
            </w:tabs>
          </w:pPr>
          <w:hyperlink w:history="1" w:anchor="_Toc24">
            <w:r>
              <w:t xml:space="preserve">A.7  Aspérité en biais</w:t>
            </w:r>
            <w:r>
              <w:tab/>
            </w:r>
            <w:r>
              <w:fldChar w:fldCharType="begin" w:dirty="true"/>
              <w:instrText xml:space="preserve">PAGEREF _Toc24 \h</w:instrText>
              <w:fldChar w:fldCharType="separate"/>
              <w:fldChar w:fldCharType="end"/>
            </w:r>
          </w:hyperlink>
        </w:p>
        <w:p>
          <w:pPr>
            <w:pStyle w:val="TOC1"/>
            <w:tabs>
              <w:tab w:val="right" w:pos="9412" w:leader="dot"/>
            </w:tabs>
          </w:pPr>
          <w:hyperlink w:history="1" w:anchor="_Toc25">
            <w:r>
              <w:t xml:space="preserve">A.8  Gradient de pression : le facteur de Nash et Bradshaw</w:t>
            </w:r>
            <w:r>
              <w:tab/>
            </w:r>
            <w:r>
              <w:fldChar w:fldCharType="begin" w:dirty="true"/>
              <w:instrText xml:space="preserve">PAGEREF _Toc25 \h</w:instrText>
              <w:fldChar w:fldCharType="separate"/>
              <w:fldChar w:fldCharType="end"/>
            </w:r>
          </w:hyperlink>
        </w:p>
        <w:p>
          <w:pPr>
            <w:pStyle w:val="TOC1"/>
            <w:tabs>
              <w:tab w:val="right" w:pos="9412" w:leader="dot"/>
            </w:tabs>
          </w:pPr>
          <w:hyperlink w:history="1" w:anchor="_Toc26">
            <w:r>
              <w:t xml:space="preserve">A.9  Exemple numérique complet</w:t>
            </w:r>
            <w:r>
              <w:tab/>
            </w:r>
            <w:r>
              <w:fldChar w:fldCharType="begin" w:dirty="true"/>
              <w:instrText xml:space="preserve">PAGEREF _Toc26 \h</w:instrText>
              <w:fldChar w:fldCharType="separate"/>
              <w:fldChar w:fldCharType="end"/>
            </w:r>
          </w:hyperlink>
        </w:p>
        <w:p>
          <w:pPr>
            <w:pStyle w:val="TOC2"/>
            <w:tabs>
              <w:tab w:val="right" w:pos="9412" w:leader="dot"/>
            </w:tabs>
          </w:pPr>
          <w:hyperlink w:history="1" w:anchor="_Toc27">
            <w:r>
              <w:t xml:space="preserve">A.9.1  Étapes 1 et 2 — l’écoulement et la couche limite</w:t>
            </w:r>
            <w:r>
              <w:tab/>
            </w:r>
            <w:r>
              <w:fldChar w:fldCharType="begin" w:dirty="true"/>
              <w:instrText xml:space="preserve">PAGEREF _Toc27 \h</w:instrText>
              <w:fldChar w:fldCharType="separate"/>
              <w:fldChar w:fldCharType="end"/>
            </w:r>
          </w:hyperlink>
        </w:p>
        <w:p>
          <w:pPr>
            <w:pStyle w:val="TOC2"/>
            <w:tabs>
              <w:tab w:val="right" w:pos="9412" w:leader="dot"/>
            </w:tabs>
          </w:pPr>
          <w:hyperlink w:history="1" w:anchor="_Toc28">
            <w:r>
              <w:t xml:space="preserve">A.9.2  Étapes 3 à 6 — les trois géométries</w:t>
            </w:r>
            <w:r>
              <w:tab/>
            </w:r>
            <w:r>
              <w:fldChar w:fldCharType="begin" w:dirty="true"/>
              <w:instrText xml:space="preserve">PAGEREF _Toc28 \h</w:instrText>
              <w:fldChar w:fldCharType="separate"/>
              <w:fldChar w:fldCharType="end"/>
            </w:r>
          </w:hyperlink>
        </w:p>
        <w:p>
          <w:pPr>
            <w:pStyle w:val="TOC2"/>
            <w:tabs>
              <w:tab w:val="right" w:pos="9412" w:leader="dot"/>
            </w:tabs>
          </w:pPr>
          <w:hyperlink w:history="1" w:anchor="_Toc29">
            <w:r>
              <w:t xml:space="preserve">A.9.3  Ce que rapporte un chanfrein</w:t>
            </w:r>
            <w:r>
              <w:tab/>
            </w:r>
            <w:r>
              <w:fldChar w:fldCharType="begin" w:dirty="true"/>
              <w:instrText xml:space="preserve">PAGEREF _Toc29 \h</w:instrText>
              <w:fldChar w:fldCharType="separate"/>
              <w:fldChar w:fldCharType="end"/>
            </w:r>
          </w:hyperlink>
        </w:p>
        <w:p>
          <w:pPr>
            <w:pStyle w:val="TOC2"/>
            <w:tabs>
              <w:tab w:val="right" w:pos="9412" w:leader="dot"/>
            </w:tabs>
          </w:pPr>
          <w:hyperlink w:history="1" w:anchor="_Toc30">
            <w:r>
              <w:t xml:space="preserve">A.9.4  Sensibilité à la hauteur</w:t>
            </w:r>
            <w:r>
              <w:tab/>
            </w:r>
            <w:r>
              <w:fldChar w:fldCharType="begin" w:dirty="true"/>
              <w:instrText xml:space="preserve">PAGEREF _Toc30 \h</w:instrText>
              <w:fldChar w:fldCharType="separate"/>
              <w:fldChar w:fldCharType="end"/>
            </w:r>
          </w:hyperlink>
        </w:p>
        <w:p>
          <w:pPr>
            <w:pStyle w:val="TOC1"/>
            <w:tabs>
              <w:tab w:val="right" w:pos="9412" w:leader="dot"/>
            </w:tabs>
          </w:pPr>
          <w:hyperlink w:history="1" w:anchor="_Toc31">
            <w:r>
              <w:t xml:space="preserve">A.10  Mise en œuvre : le script livré</w:t>
            </w:r>
            <w:r>
              <w:tab/>
            </w:r>
            <w:r>
              <w:fldChar w:fldCharType="begin" w:dirty="true"/>
              <w:instrText xml:space="preserve">PAGEREF _Toc31 \h</w:instrText>
              <w:fldChar w:fldCharType="separate"/>
              <w:fldChar w:fldCharType="end"/>
            </w:r>
          </w:hyperlink>
        </w:p>
        <w:p>
          <w:pPr>
            <w:pStyle w:val="TOC2"/>
            <w:tabs>
              <w:tab w:val="right" w:pos="9412" w:leader="dot"/>
            </w:tabs>
          </w:pPr>
          <w:hyperlink w:history="1" w:anchor="_Toc32">
            <w:r>
              <w:t xml:space="preserve">A.10.1  Usage</w:t>
            </w:r>
            <w:r>
              <w:tab/>
            </w:r>
            <w:r>
              <w:fldChar w:fldCharType="begin" w:dirty="true"/>
              <w:instrText xml:space="preserve">PAGEREF _Toc32 \h</w:instrText>
              <w:fldChar w:fldCharType="separate"/>
              <w:fldChar w:fldCharType="end"/>
            </w:r>
          </w:hyperlink>
        </w:p>
        <w:p>
          <w:pPr>
            <w:pStyle w:val="TOC2"/>
            <w:tabs>
              <w:tab w:val="right" w:pos="9412" w:leader="dot"/>
            </w:tabs>
          </w:pPr>
          <w:hyperlink w:history="1" w:anchor="_Toc33">
            <w:r>
              <w:t xml:space="preserve">A.10.2  En bibliothèque</w:t>
            </w:r>
            <w:r>
              <w:tab/>
            </w:r>
            <w:r>
              <w:fldChar w:fldCharType="begin" w:dirty="true"/>
              <w:instrText xml:space="preserve">PAGEREF _Toc33 \h</w:instrText>
              <w:fldChar w:fldCharType="separate"/>
              <w:fldChar w:fldCharType="end"/>
            </w:r>
          </w:hyperlink>
        </w:p>
        <w:p>
          <w:pPr>
            <w:pStyle w:val="TOC2"/>
            <w:tabs>
              <w:tab w:val="right" w:pos="9412" w:leader="dot"/>
            </w:tabs>
          </w:pPr>
          <w:hyperlink w:history="1" w:anchor="_Toc34">
            <w:r>
              <w:t xml:space="preserve">A.10.3  Fonctions principales</w:t>
            </w:r>
            <w:r>
              <w:tab/>
            </w:r>
            <w:r>
              <w:fldChar w:fldCharType="begin" w:dirty="true"/>
              <w:instrText xml:space="preserve">PAGEREF _Toc34 \h</w:instrText>
              <w:fldChar w:fldCharType="separate"/>
              <w:fldChar w:fldCharType="end"/>
            </w:r>
          </w:hyperlink>
        </w:p>
        <w:p>
          <w:pPr>
            <w:pStyle w:val="TOC1"/>
            <w:tabs>
              <w:tab w:val="right" w:pos="9412" w:leader="dot"/>
            </w:tabs>
          </w:pPr>
          <w:hyperlink w:history="1" w:anchor="_Toc35">
            <w:r>
              <w:t xml:space="preserve">A.11  Références</w:t>
            </w:r>
            <w:r>
              <w:tab/>
            </w:r>
            <w:r>
              <w:fldChar w:fldCharType="begin" w:dirty="true"/>
              <w:instrText xml:space="preserve">PAGEREF _Toc35 \h</w:instrText>
              <w:fldChar w:fldCharType="separate"/>
              <w:fldChar w:fldCharType="end"/>
            </w:r>
          </w:hyperlink>
        </w:p>
        <w:p>
          <w:pPr>
            <w:pStyle w:val="TOC2"/>
            <w:tabs>
              <w:tab w:val="right" w:pos="9412" w:leader="dot"/>
            </w:tabs>
          </w:pPr>
          <w:hyperlink w:history="1" w:anchor="_Toc36">
            <w:r>
              <w:t xml:space="preserve">Ce que cette annexe ne couvre pas</w:t>
            </w:r>
            <w:r>
              <w:tab/>
            </w:r>
            <w:r>
              <w:fldChar w:fldCharType="begin" w:dirty="true"/>
              <w:instrText xml:space="preserve">PAGEREF _Toc36 \h</w:instrText>
              <w:fldChar w:fldCharType="separate"/>
              <w:fldChar w:fldCharType="end"/>
            </w:r>
          </w:hyperlink>
        </w:p>
        <w:p>
          <w:r>
            <w:fldChar w:fldCharType="end"/>
          </w:r>
        </w:p>
      </w:sdtContent>
    </w:sdt>
    <w:p>
      <w:r>
        <w:br w:type="page"/>
      </w:r>
    </w:p>
    <w:p>
      <w:pPr>
        <w:pStyle w:val="Heading1"/>
        <w:spacing w:after="140" w:before="360"/>
      </w:pPr>
      <w:bookmarkStart w:name="_Toc1" w:id="1"/>
      <w:r>
        <w:t xml:space="preserve">A.1  Objet et principe</w:t>
      </w:r>
      <w:bookmarkEnd w:id="1"/>
    </w:p>
    <w:p>
      <w:pPr>
        <w:spacing w:after="140" w:line="276"/>
        <w:jc w:val="both"/>
      </w:pPr>
      <w:r>
        <w:rPr>
          <w:rFonts w:ascii="Calibri" w:cs="Calibri" w:eastAsia="Calibri" w:hAnsi="Calibri"/>
          <w:sz w:val="21"/>
          <w:szCs w:val="21"/>
        </w:rPr>
        <w:t xml:space="preserve">Une surface aérodynamique n’est jamais parfaitement lisse. Un panneau ne se repose pas exactement à fleur, une trappe dépasse de quelques dixièmes de millimètre, un couvre-joint est rapporté par-dessus la peau. Chacune de ces discontinuités coûte de la traînée, et la question posée en bureau d’études est toujours la même : combien ?</w:t>
      </w:r>
    </w:p>
    <w:p>
      <w:pPr>
        <w:spacing w:after="140" w:line="276"/>
        <w:jc w:val="both"/>
      </w:pPr>
      <w:r>
        <w:rPr>
          <w:rFonts w:ascii="Calibri" w:cs="Calibri" w:eastAsia="Calibri" w:hAnsi="Calibri"/>
          <w:sz w:val="21"/>
          <w:szCs w:val="21"/>
        </w:rPr>
        <w:t xml:space="preserve">On traite ici les aspérités dites « bidimensionnelles », c’est-à-dire longues devant leur hauteur et orientées en travers de l’écoulement. Elles se rangent en trois familles, qui n’ont ni le même niveau de traînée ni le même comportement en Mach :</w:t>
      </w:r>
    </w:p>
    <w:p>
      <w:pPr>
        <w:keepNext/>
        <w:spacing w:after="60" w:before="220"/>
        <w:jc w:val="center"/>
      </w:pPr>
      <w:r>
        <w:drawing>
          <wp:inline distT="0" distB="0" distL="0" distR="0">
            <wp:extent cx="5715000" cy="32480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48025"/>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A.1 — Les trois géométries traitées (ligne du haut) et les trois corrections de forme (ligne du bas), avec les notations employées.</w:t>
      </w:r>
    </w:p>
    <w:p>
      <w:pPr>
        <w:pStyle w:val="ListParagraph"/>
        <w:numPr>
          <w:ilvl w:val="0"/>
          <w:numId w:val="2"/>
        </w:numPr>
        <w:spacing w:after="90" w:line="276"/>
        <w:jc w:val="both"/>
      </w:pPr>
      <w:r>
        <w:rPr>
          <w:rFonts w:ascii="Calibri" w:cs="Calibri" w:eastAsia="Calibri" w:hAnsi="Calibri"/>
          <w:b w:val="false"/>
          <w:bCs w:val="false"/>
          <w:color w:val="1F4E79"/>
          <w:sz w:val="21"/>
          <w:szCs w:val="21"/>
        </w:rPr>
        <w:t xml:space="preserve">La marche montante</w:t>
      </w:r>
      <w:r>
        <w:rPr>
          <w:rFonts w:ascii="Calibri" w:cs="Calibri" w:eastAsia="Calibri" w:hAnsi="Calibri"/>
          <w:sz w:val="21"/>
          <w:szCs w:val="21"/>
        </w:rPr>
        <w:t xml:space="preserve"> : l’écoulement arrive sur une surface qui monte. C’est le cas le plus pénalisant des deux marches.</w:t>
      </w:r>
    </w:p>
    <w:p>
      <w:pPr>
        <w:pStyle w:val="ListParagraph"/>
        <w:numPr>
          <w:ilvl w:val="0"/>
          <w:numId w:val="2"/>
        </w:numPr>
        <w:spacing w:after="90" w:line="276"/>
        <w:jc w:val="both"/>
      </w:pPr>
      <w:r>
        <w:rPr>
          <w:rFonts w:ascii="Calibri" w:cs="Calibri" w:eastAsia="Calibri" w:hAnsi="Calibri"/>
          <w:color w:val="1F4E79"/>
          <w:sz w:val="21"/>
          <w:szCs w:val="21"/>
        </w:rPr>
        <w:t xml:space="preserve">La marche descendante</w:t>
      </w:r>
      <w:r>
        <w:rPr>
          <w:rFonts w:ascii="Calibri" w:cs="Calibri" w:eastAsia="Calibri" w:hAnsi="Calibri"/>
          <w:sz w:val="21"/>
          <w:szCs w:val="21"/>
        </w:rPr>
        <w:t xml:space="preserve"> : l’écoulement quitte une surface qui descend. À bas Mach, elle traîne deux à trois fois moins qu’une marche montante de même hauteur.</w:t>
      </w:r>
    </w:p>
    <w:p>
      <w:pPr>
        <w:pStyle w:val="ListParagraph"/>
        <w:numPr>
          <w:ilvl w:val="0"/>
          <w:numId w:val="2"/>
        </w:numPr>
        <w:spacing w:after="90" w:line="276"/>
        <w:jc w:val="both"/>
      </w:pPr>
      <w:r>
        <w:rPr>
          <w:rFonts w:ascii="Calibri" w:cs="Calibri" w:eastAsia="Calibri" w:hAnsi="Calibri"/>
          <w:color w:val="1F4E79"/>
          <w:sz w:val="21"/>
          <w:szCs w:val="21"/>
        </w:rPr>
        <w:t xml:space="preserve">L’arête</w:t>
      </w:r>
      <w:r>
        <w:rPr>
          <w:rFonts w:ascii="Calibri" w:cs="Calibri" w:eastAsia="Calibri" w:hAnsi="Calibri"/>
          <w:sz w:val="21"/>
          <w:szCs w:val="21"/>
        </w:rPr>
        <w:t xml:space="preserve"> : une marche montante suivie de près d’une marche descendante. Ce n’est pas la somme des deux : voir § A.6.4.</w:t>
      </w:r>
    </w:p>
    <w:p>
      <w:pPr>
        <w:spacing w:after="140" w:line="276"/>
        <w:jc w:val="both"/>
      </w:pPr>
      <w:r>
        <w:rPr>
          <w:rFonts w:ascii="Calibri" w:cs="Calibri" w:eastAsia="Calibri" w:hAnsi="Calibri"/>
          <w:sz w:val="21"/>
          <w:szCs w:val="21"/>
        </w:rPr>
        <w:t xml:space="preserve">La grandeur recherchée est l’incrément de traînée </w:t>
      </w:r>
      <w:r>
        <w:rPr>
          <w:rFonts w:ascii="Calibri" w:cs="Calibri" w:eastAsia="Calibri" w:hAnsi="Calibri"/>
          <w:i/>
          <w:iCs/>
          <w:sz w:val="21"/>
          <w:szCs w:val="21"/>
        </w:rPr>
        <w:t xml:space="preserve">ΔD</w:t>
      </w:r>
      <w:r>
        <w:rPr>
          <w:rFonts w:ascii="Calibri" w:cs="Calibri" w:eastAsia="Calibri" w:hAnsi="Calibri"/>
          <w:sz w:val="21"/>
          <w:szCs w:val="21"/>
        </w:rPr>
        <w:t xml:space="preserve"> en newtons, que l’on convertit ensuite en incrément de coefficient de traînée </w:t>
      </w:r>
      <w:r>
        <w:rPr>
          <w:rFonts w:ascii="Calibri" w:cs="Calibri" w:eastAsia="Calibri" w:hAnsi="Calibri"/>
          <w:i/>
          <w:iCs/>
          <w:sz w:val="21"/>
          <w:szCs w:val="21"/>
        </w:rPr>
        <w:t xml:space="preserve">ΔCx</w:t>
      </w:r>
      <w:r>
        <w:rPr>
          <w:rFonts w:ascii="Calibri" w:cs="Calibri" w:eastAsia="Calibri" w:hAnsi="Calibri"/>
          <w:sz w:val="21"/>
          <w:szCs w:val="21"/>
        </w:rPr>
        <w:t xml:space="preserve"> sur la surface de référence de l’avion.</w:t>
      </w:r>
    </w:p>
    <w:p>
      <w:pPr>
        <w:pStyle w:val="Heading1"/>
        <w:spacing w:after="140" w:before="360"/>
      </w:pPr>
      <w:bookmarkStart w:name="_Toc2" w:id="2"/>
      <w:r>
        <w:t xml:space="preserve">A.2  Source et domaine de validité</w:t>
      </w:r>
      <w:bookmarkEnd w:id="2"/>
    </w:p>
    <w:p>
      <w:pPr>
        <w:spacing w:after="140" w:line="276"/>
        <w:jc w:val="both"/>
      </w:pPr>
      <w:r>
        <w:rPr>
          <w:rFonts w:ascii="Calibri" w:cs="Calibri" w:eastAsia="Calibri" w:hAnsi="Calibri"/>
          <w:sz w:val="21"/>
          <w:szCs w:val="21"/>
        </w:rPr>
        <w:t xml:space="preserve">Toutes les corrélations proviennent du § 4.3 de l’AGARDograph AGARD-AG-264. Les essais sous-jacents sont ceux du RAE (Gaudet et Winter) et de l’ARA (Pallister), complétés par des mesures plus anciennes de Wieghardt et de Tillmann. Le rapport est en diffusion publique.</w:t>
      </w:r>
    </w:p>
    <w:p>
      <w:pPr>
        <w:spacing w:after="140" w:line="276"/>
        <w:jc w:val="both"/>
      </w:pPr>
      <w:r>
        <w:rPr>
          <w:rFonts w:ascii="Calibri" w:cs="Calibri" w:eastAsia="Calibri" w:hAnsi="Calibri"/>
          <w:sz w:val="21"/>
          <w:szCs w:val="21"/>
        </w:rPr>
        <w:t xml:space="preserve">Les essais ont été conduits sur plaque plane, en couche limite turbulente, avec des marches très peu immergées. Le domaine de validité qui en découle est le suivant.</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2824"/>
        <w:gridCol w:w="2071"/>
        <w:gridCol w:w="4517"/>
      </w:tblGrid>
      <w:tr>
        <w:trPr>
          <w:cantSplit/>
          <w:tblHeader/>
        </w:trPr>
        <w:tc>
          <w:tcPr>
            <w:tcW w:type="dxa" w:w="2824"/>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Grandeur</w:t>
            </w:r>
          </w:p>
        </w:tc>
        <w:tc>
          <w:tcPr>
            <w:tcW w:type="dxa" w:w="2071"/>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Domaine</w:t>
            </w:r>
          </w:p>
        </w:tc>
        <w:tc>
          <w:tcPr>
            <w:tcW w:type="dxa" w:w="4517"/>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Origine</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h⁺ = u_τ·h/ν_w</w:t>
            </w:r>
          </w:p>
        </w:tc>
        <w:tc>
          <w:tcPr>
            <w:tcW w:type="dxa" w:w="20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25 à 2 000</w:t>
            </w:r>
          </w:p>
        </w:tc>
        <w:tc>
          <w:tcPr>
            <w:tcW w:type="dxa" w:w="451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axes des Figures 4.23, 4.28 et 4.34</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h⁺, marche montante subsonique</w:t>
            </w:r>
          </w:p>
        </w:tc>
        <w:tc>
          <w:tcPr>
            <w:tcW w:type="dxa" w:w="20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 55</w:t>
            </w:r>
          </w:p>
        </w:tc>
        <w:tc>
          <w:tcPr>
            <w:tcW w:type="dxa" w:w="451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les tiretés de la Figure 4.23 ne descendent pas plus bas</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h/δ (immersion)</w:t>
            </w:r>
          </w:p>
        </w:tc>
        <w:tc>
          <w:tcPr>
            <w:tcW w:type="dxa" w:w="20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 0,03</w:t>
            </w:r>
          </w:p>
        </w:tc>
        <w:tc>
          <w:tcPr>
            <w:tcW w:type="dxa" w:w="451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 4.3.1.1.1, essais RAE</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Mach local, marche montante</w:t>
            </w:r>
          </w:p>
        </w:tc>
        <w:tc>
          <w:tcPr>
            <w:tcW w:type="dxa" w:w="20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0,2 à 1,4</w:t>
            </w:r>
          </w:p>
        </w:tc>
        <w:tc>
          <w:tcPr>
            <w:tcW w:type="dxa" w:w="451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tables</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Mach local, descendante et arête</w:t>
            </w:r>
          </w:p>
        </w:tc>
        <w:tc>
          <w:tcPr>
            <w:tcW w:type="dxa" w:w="20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0,2 à 2,8</w:t>
            </w:r>
          </w:p>
        </w:tc>
        <w:tc>
          <w:tcPr>
            <w:tcW w:type="dxa" w:w="451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tables</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Couche limite</w:t>
            </w:r>
          </w:p>
        </w:tc>
        <w:tc>
          <w:tcPr>
            <w:tcW w:type="dxa" w:w="20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turbulente, 2-D, gradient de pression nul</w:t>
            </w:r>
          </w:p>
        </w:tc>
        <w:tc>
          <w:tcPr>
            <w:tcW w:type="dxa" w:w="451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toutes les données du § 4.3</w:t>
            </w:r>
          </w:p>
        </w:tc>
      </w:tr>
    </w:tbl>
    <w:p>
      <w:pPr>
        <w:spacing w:after="160"/>
      </w:pPr>
    </w:p>
    <w:p>
      <w:pPr>
        <w:spacing w:after="140" w:line="276"/>
        <w:jc w:val="both"/>
      </w:pPr>
      <w:r>
        <w:rPr>
          <w:rFonts w:ascii="Calibri" w:cs="Calibri" w:eastAsia="Calibri" w:hAnsi="Calibri"/>
          <w:sz w:val="21"/>
          <w:szCs w:val="21"/>
        </w:rPr>
        <w:t xml:space="preserve">La borne basse sur h⁺ mérite un mot. Les axes des figures commencent à 10, mais les ajustements droits ne survivent pas jusque-là : la droite de l’arête carrée à M = 0,2, dont les coefficients sont pourtant imprimés dans le rapport, s’annule à h⁺ = 18,5. En dessous de 25, la forme retenue prédit une traînée nulle ou négative ; le rapport ne l’a jamais destinée à descendre là.</w:t>
      </w:r>
    </w:p>
    <w:tbl>
      <w:tblPr>
        <w:tblW w:type="dxa" w:w="9412"/>
        <w:tblBorders>
          <w:top w:val="single" w:color="1F4E79" w:sz="6"/>
          <w:left w:val="single" w:color="1F4E79" w:sz="6"/>
          <w:bottom w:val="single" w:color="1F4E79" w:sz="6"/>
          <w:right w:val="single" w:color="1F4E79" w:sz="6"/>
          <w:insideH w:val="single" w:color="auto" w:sz="4"/>
          <w:insideV w:val="single" w:color="auto" w:sz="4"/>
        </w:tblBorders>
      </w:tblPr>
      <w:tblGrid>
        <w:gridCol w:w="9412"/>
      </w:tblGrid>
      <w:tr>
        <w:tc>
          <w:tcPr>
            <w:tcW w:type="dxa" w:w="9412"/>
            <w:shd w:fill="F2F7FC" w:color="auto" w:val="clear"/>
            <w:tcMar>
              <w:top w:type="dxa" w:w="140"/>
              <w:left w:type="dxa" w:w="180"/>
              <w:bottom w:type="dxa" w:w="140"/>
              <w:right w:type="dxa" w:w="180"/>
            </w:tcMar>
          </w:tcPr>
          <w:p>
            <w:pPr>
              <w:spacing w:after="80"/>
            </w:pPr>
            <w:r>
              <w:rPr>
                <w:rFonts w:ascii="Calibri" w:cs="Calibri" w:eastAsia="Calibri" w:hAnsi="Calibri"/>
                <w:caps/>
                <w:color w:val="1F4E79"/>
                <w:sz w:val="20"/>
                <w:szCs w:val="20"/>
              </w:rPr>
              <w:t xml:space="preserve">Hors du domaine</w:t>
            </w:r>
          </w:p>
          <w:p>
            <w:pPr>
              <w:spacing w:after="60" w:line="264"/>
              <w:jc w:val="both"/>
            </w:pPr>
            <w:r>
              <w:rPr>
                <w:rFonts w:ascii="Calibri" w:cs="Calibri" w:eastAsia="Calibri" w:hAnsi="Calibri"/>
                <w:sz w:val="20"/>
                <w:szCs w:val="20"/>
              </w:rPr>
              <w:t xml:space="preserve">Le script livré renvoie quand même un nombre — la courbe la plus proche est maintenue, la droite est prolongée — mais il émet un avertissement par grandeur sortie du domaine. Un résultat accompagné d’un avertissement doit être cité avec sa réserve, pas corrigé en silence.</w:t>
            </w:r>
          </w:p>
        </w:tc>
      </w:tr>
    </w:tbl>
    <w:p>
      <w:r>
        <w:br w:type="page"/>
      </w:r>
    </w:p>
    <w:p>
      <w:pPr>
        <w:pStyle w:val="Heading1"/>
        <w:spacing w:after="140" w:before="360"/>
      </w:pPr>
      <w:bookmarkStart w:name="_Toc3" w:id="3"/>
      <w:r>
        <w:t xml:space="preserve">A.3  Comment le calcul est mené</w:t>
      </w:r>
      <w:bookmarkEnd w:id="3"/>
    </w:p>
    <w:p>
      <w:pPr>
        <w:pStyle w:val="Heading2"/>
        <w:spacing w:after="140" w:before="280"/>
      </w:pPr>
      <w:bookmarkStart w:name="_Toc4" w:id="4"/>
      <w:r>
        <w:t xml:space="preserve">A.3.1  Pourquoi un nombre de Reynolds de rugosité</w:t>
      </w:r>
      <w:bookmarkEnd w:id="4"/>
    </w:p>
    <w:p>
      <w:pPr>
        <w:spacing w:after="140" w:line="276"/>
        <w:jc w:val="both"/>
      </w:pPr>
      <w:r>
        <w:rPr>
          <w:rFonts w:ascii="Calibri" w:cs="Calibri" w:eastAsia="Calibri" w:hAnsi="Calibri"/>
          <w:sz w:val="21"/>
          <w:szCs w:val="21"/>
        </w:rPr>
        <w:t xml:space="preserve">Une aspérité suffisamment petite ne « voit » pas la couche limite entière. Elle est noyée dans la région interne, celle où le profil de vitesse ne dépend que de deux choses : le frottement à la paroi et la viscosité. Sa traînée doit donc se corréler sur ces deux grandeurs seulement, et pas sur l’épaisseur de la couche limite ni sur le Reynolds de la voilure.</w:t>
      </w:r>
    </w:p>
    <w:p>
      <w:pPr>
        <w:spacing w:after="140" w:line="276"/>
        <w:jc w:val="both"/>
      </w:pPr>
      <w:r>
        <w:rPr>
          <w:rFonts w:ascii="Calibri" w:cs="Calibri" w:eastAsia="Calibri" w:hAnsi="Calibri"/>
          <w:sz w:val="21"/>
          <w:szCs w:val="21"/>
        </w:rPr>
        <w:t xml:space="preserve">C’est le raisonnement qu’ont suivi Gaudet et Winter. Ils ont défini un nombre de Reynolds bâti sur la hauteur de la marche et sur les grandeurs pariétales, appelé nombre de Reynolds de rugosité :</w:t>
      </w:r>
    </w:p>
    <w:p>
      <w:pPr>
        <w:spacing w:after="160" w:before="160"/>
        <w:jc w:val="center"/>
      </w:pPr>
      <w:r>
        <w:rPr>
          <w:rFonts w:ascii="Cambria" w:cs="Cambria" w:eastAsia="Cambria" w:hAnsi="Cambria"/>
          <w:sz w:val="22"/>
          <w:szCs w:val="22"/>
        </w:rPr>
        <w:t xml:space="preserve">h⁺ = u_τ · h / ν_w          avec   u_τ = √(τ_w / ρ_w)</w:t>
      </w:r>
      <w:r>
        <w:rPr>
          <w:rFonts w:ascii="Calibri" w:cs="Calibri" w:eastAsia="Calibri" w:hAnsi="Calibri"/>
          <w:color w:val="595959"/>
          <w:sz w:val="18"/>
          <w:szCs w:val="18"/>
        </w:rPr>
        <w:t xml:space="preserve">          éq. 4(25)</w:t>
      </w:r>
    </w:p>
    <w:p>
      <w:pPr>
        <w:spacing w:after="140" w:line="276"/>
        <w:jc w:val="both"/>
      </w:pPr>
      <w:r>
        <w:rPr>
          <w:rFonts w:ascii="Calibri" w:cs="Calibri" w:eastAsia="Calibri" w:hAnsi="Calibri"/>
          <w:sz w:val="21"/>
          <w:szCs w:val="21"/>
        </w:rPr>
        <w:t xml:space="preserve">puis un rapport sans dimension entre la traînée de l’aspérité, rapportée à son aire frontale, et le frottement local :</w:t>
      </w:r>
    </w:p>
    <w:p>
      <w:pPr>
        <w:spacing w:after="160" w:before="160"/>
        <w:jc w:val="center"/>
      </w:pPr>
      <w:r>
        <w:rPr>
          <w:rFonts w:ascii="Cambria" w:cs="Cambria" w:eastAsia="Cambria" w:hAnsi="Cambria"/>
          <w:sz w:val="22"/>
          <w:szCs w:val="22"/>
        </w:rPr>
        <w:t xml:space="preserve">CDe = ΔD / (q_e · f_e)          Cfe = τ_w / q_e</w:t>
      </w:r>
    </w:p>
    <w:p>
      <w:pPr>
        <w:spacing w:after="140" w:line="276"/>
        <w:jc w:val="both"/>
      </w:pPr>
      <w:r>
        <w:rPr>
          <w:rFonts w:ascii="Calibri" w:cs="Calibri" w:eastAsia="Calibri" w:hAnsi="Calibri"/>
          <w:sz w:val="21"/>
          <w:szCs w:val="21"/>
        </w:rPr>
        <w:t xml:space="preserve">où </w:t>
      </w:r>
      <w:r>
        <w:rPr>
          <w:rFonts w:ascii="Calibri" w:cs="Calibri" w:eastAsia="Calibri" w:hAnsi="Calibri"/>
          <w:i/>
          <w:iCs/>
          <w:sz w:val="21"/>
          <w:szCs w:val="21"/>
        </w:rPr>
        <w:t xml:space="preserve">f_e = h · b</w:t>
      </w:r>
      <w:r>
        <w:rPr>
          <w:rFonts w:ascii="Calibri" w:cs="Calibri" w:eastAsia="Calibri" w:hAnsi="Calibri"/>
          <w:sz w:val="21"/>
          <w:szCs w:val="21"/>
        </w:rPr>
        <w:t xml:space="preserve"> est l’aire frontale de l’aspérité (hauteur × envergure) et </w:t>
      </w:r>
      <w:r>
        <w:rPr>
          <w:rFonts w:ascii="Calibri" w:cs="Calibri" w:eastAsia="Calibri" w:hAnsi="Calibri"/>
          <w:i/>
          <w:iCs/>
          <w:sz w:val="21"/>
          <w:szCs w:val="21"/>
        </w:rPr>
        <w:t xml:space="preserve">q_e</w:t>
      </w:r>
      <w:r>
        <w:rPr>
          <w:rFonts w:ascii="Calibri" w:cs="Calibri" w:eastAsia="Calibri" w:hAnsi="Calibri"/>
          <w:sz w:val="21"/>
          <w:szCs w:val="21"/>
        </w:rPr>
        <w:t xml:space="preserve"> la pression dynamique au bord de la couche limite. Tracé sous la forme CDe/Cfe en fonction de h⁺, le nuage des essais se range effectivement sur des droites — une par nombre de Mach — dès lors que l’abscisse est logarithmique :</w:t>
      </w:r>
    </w:p>
    <w:p>
      <w:pPr>
        <w:spacing w:after="160" w:before="160"/>
        <w:jc w:val="center"/>
      </w:pPr>
      <w:r>
        <w:rPr>
          <w:rFonts w:ascii="Cambria" w:cs="Cambria" w:eastAsia="Cambria" w:hAnsi="Cambria"/>
          <w:sz w:val="22"/>
          <w:szCs w:val="22"/>
        </w:rPr>
        <w:t xml:space="preserve">CDe / Cfe = A · log₁₀(h⁺) + B</w:t>
      </w:r>
      <w:r>
        <w:rPr>
          <w:rFonts w:ascii="Calibri" w:cs="Calibri" w:eastAsia="Calibri" w:hAnsi="Calibri"/>
          <w:color w:val="595959"/>
          <w:sz w:val="18"/>
          <w:szCs w:val="18"/>
        </w:rPr>
        <w:t xml:space="preserve">          éq. 4(37)</w:t>
      </w:r>
    </w:p>
    <w:p>
      <w:pPr>
        <w:spacing w:after="140" w:line="276"/>
        <w:jc w:val="both"/>
      </w:pPr>
      <w:r>
        <w:rPr>
          <w:rFonts w:ascii="Calibri" w:cs="Calibri" w:eastAsia="Calibri" w:hAnsi="Calibri"/>
          <w:sz w:val="21"/>
          <w:szCs w:val="21"/>
        </w:rPr>
        <w:t xml:space="preserve">Les coefficients A et B sont donnés géométrie par géométrie aux paragraphes A.4 à A.6. C’est le cœur de la méthode : tout le reste n’est que la façon d’alimenter cette relation et d’en tirer une force.</w:t>
      </w:r>
    </w:p>
    <w:p>
      <w:pPr>
        <w:pStyle w:val="Heading2"/>
        <w:spacing w:after="140" w:before="280"/>
      </w:pPr>
      <w:bookmarkStart w:name="_Toc5" w:id="5"/>
      <w:r>
        <w:t xml:space="preserve">A.3.2  La relation de travail</w:t>
      </w:r>
      <w:bookmarkEnd w:id="5"/>
    </w:p>
    <w:p>
      <w:pPr>
        <w:spacing w:after="140" w:line="276"/>
        <w:jc w:val="both"/>
      </w:pPr>
      <w:r>
        <w:rPr>
          <w:rFonts w:ascii="Calibri" w:cs="Calibri" w:eastAsia="Calibri" w:hAnsi="Calibri"/>
          <w:sz w:val="21"/>
          <w:szCs w:val="21"/>
        </w:rPr>
        <w:t xml:space="preserve">En remplaçant CDe et Cfe par leurs définitions, la pression dynamique se simplifie. Il reste une relation remarquablement sobre :</w:t>
      </w:r>
    </w:p>
    <w:p>
      <w:pPr>
        <w:spacing w:after="160" w:before="160"/>
        <w:jc w:val="center"/>
      </w:pPr>
      <w:r>
        <w:rPr>
          <w:rFonts w:ascii="Cambria" w:cs="Cambria" w:eastAsia="Cambria" w:hAnsi="Cambria"/>
          <w:sz w:val="22"/>
          <w:szCs w:val="22"/>
        </w:rPr>
        <w:t xml:space="preserve">ΔD = (CDe/Cfe) × f_forme × m_d × τ_w × f_e</w:t>
      </w:r>
    </w:p>
    <w:p>
      <w:pPr>
        <w:spacing w:after="140" w:line="276"/>
        <w:jc w:val="both"/>
      </w:pPr>
      <w:r>
        <w:rPr>
          <w:rFonts w:ascii="Calibri" w:cs="Calibri" w:eastAsia="Calibri" w:hAnsi="Calibri"/>
          <w:sz w:val="21"/>
          <w:szCs w:val="21"/>
        </w:rPr>
        <w:t xml:space="preserve">Autrement dit, le supplément de traînée est le produit de quatre choses : un rapport lu dans une corrélation, un facteur de forme qui tient compte des arêtes cassées et du biais, un éventuel facteur d’amplification dû au gradient de pression (§ A.8), et la force de frottement qui s’exercerait sur l’aire frontale de l’aspérité si elle était plaquée au mur.</w:t>
      </w:r>
    </w:p>
    <w:p>
      <w:pPr>
        <w:spacing w:after="140" w:line="276"/>
        <w:jc w:val="both"/>
      </w:pPr>
      <w:r>
        <w:rPr>
          <w:rFonts w:ascii="Calibri" w:cs="Calibri" w:eastAsia="Calibri" w:hAnsi="Calibri"/>
          <w:sz w:val="21"/>
          <w:szCs w:val="21"/>
        </w:rPr>
        <w:t xml:space="preserve">La pression dynamique a disparu. On n’a donc besoin que de deux grandeurs issues de l’écoulement : le cisaillement pariétal </w:t>
      </w:r>
      <w:r>
        <w:rPr>
          <w:rFonts w:ascii="Calibri" w:cs="Calibri" w:eastAsia="Calibri" w:hAnsi="Calibri"/>
          <w:i/>
          <w:iCs/>
          <w:sz w:val="21"/>
          <w:szCs w:val="21"/>
        </w:rPr>
        <w:t xml:space="preserve">τ_w</w:t>
      </w:r>
      <w:r>
        <w:rPr>
          <w:rFonts w:ascii="Calibri" w:cs="Calibri" w:eastAsia="Calibri" w:hAnsi="Calibri"/>
          <w:sz w:val="21"/>
          <w:szCs w:val="21"/>
        </w:rPr>
        <w:t xml:space="preserve"> et le nombre de Reynolds de rugosité </w:t>
      </w:r>
      <w:r>
        <w:rPr>
          <w:rFonts w:ascii="Calibri" w:cs="Calibri" w:eastAsia="Calibri" w:hAnsi="Calibri"/>
          <w:i/>
          <w:iCs/>
          <w:sz w:val="21"/>
          <w:szCs w:val="21"/>
        </w:rPr>
        <w:t xml:space="preserve">h⁺</w:t>
      </w:r>
      <w:r>
        <w:rPr>
          <w:rFonts w:ascii="Calibri" w:cs="Calibri" w:eastAsia="Calibri" w:hAnsi="Calibri"/>
          <w:sz w:val="21"/>
          <w:szCs w:val="21"/>
        </w:rPr>
        <w:t xml:space="preserve">. Le ΔCx s’en déduit si l’on veut exprimer le résultat en coefficient :</w:t>
      </w:r>
    </w:p>
    <w:p>
      <w:pPr>
        <w:spacing w:after="160" w:before="160"/>
        <w:jc w:val="center"/>
      </w:pPr>
      <w:r>
        <w:rPr>
          <w:rFonts w:ascii="Cambria" w:cs="Cambria" w:eastAsia="Cambria" w:hAnsi="Cambria"/>
          <w:sz w:val="22"/>
          <w:szCs w:val="22"/>
        </w:rPr>
        <w:t xml:space="preserve">ΔCx = ΔD / (q_∞ · S_réf)</w:t>
      </w:r>
    </w:p>
    <w:p>
      <w:pPr>
        <w:pStyle w:val="Heading2"/>
        <w:spacing w:after="140" w:before="280"/>
      </w:pPr>
      <w:bookmarkStart w:name="_Toc6" w:id="6"/>
      <w:r>
        <w:t xml:space="preserve">A.3.3  Obtenir τ_w et h⁺</w:t>
      </w:r>
      <w:bookmarkEnd w:id="6"/>
    </w:p>
    <w:p>
      <w:pPr>
        <w:spacing w:after="140" w:line="276"/>
        <w:jc w:val="both"/>
      </w:pPr>
      <w:r>
        <w:rPr>
          <w:rFonts w:ascii="Calibri" w:cs="Calibri" w:eastAsia="Calibri" w:hAnsi="Calibri"/>
          <w:sz w:val="21"/>
          <w:szCs w:val="21"/>
        </w:rPr>
        <w:t xml:space="preserve">Trois entrées sont possibles, par ordre de qualité décroissante.</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2447"/>
        <w:gridCol w:w="5271"/>
        <w:gridCol w:w="1694"/>
      </w:tblGrid>
      <w:tr>
        <w:trPr>
          <w:cantSplit/>
          <w:tblHeader/>
        </w:trPr>
        <w:tc>
          <w:tcPr>
            <w:tcW w:type="dxa" w:w="2447"/>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Entrée</w:t>
            </w:r>
          </w:p>
        </w:tc>
        <w:tc>
          <w:tcPr>
            <w:tcW w:type="dxa" w:w="5271"/>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Quand l’utiliser</w:t>
            </w:r>
          </w:p>
        </w:tc>
        <w:tc>
          <w:tcPr>
            <w:tcW w:type="dxa" w:w="1694"/>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Qualité</w:t>
            </w:r>
          </w:p>
        </w:tc>
      </w:tr>
      <w:tr>
        <w:trPr>
          <w:cantSplit/>
        </w:trPr>
        <w:tc>
          <w:tcPr>
            <w:tcW w:type="dxa" w:w="2447"/>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τ_w mesuré ou calculé</w:t>
            </w:r>
          </w:p>
        </w:tc>
        <w:tc>
          <w:tcPr>
            <w:tcW w:type="dxa" w:w="52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vous disposez d’un calcul RANS ou d’une mesure sur la configuration lisse</w:t>
            </w:r>
          </w:p>
        </w:tc>
        <w:tc>
          <w:tcPr>
            <w:tcW w:type="dxa" w:w="16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exacte</w:t>
            </w:r>
          </w:p>
        </w:tc>
      </w:tr>
      <w:tr>
        <w:trPr>
          <w:cantSplit/>
        </w:trPr>
        <w:tc>
          <w:tcPr>
            <w:tcW w:type="dxa" w:w="2447"/>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C_fe local</w:t>
            </w:r>
          </w:p>
        </w:tc>
        <w:tc>
          <w:tcPr>
            <w:tcW w:type="dxa" w:w="52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vous disposez du coefficient de frottement local</w:t>
            </w:r>
          </w:p>
        </w:tc>
        <w:tc>
          <w:tcPr>
            <w:tcW w:type="dxa" w:w="16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exacte</w:t>
            </w:r>
          </w:p>
        </w:tc>
      </w:tr>
      <w:tr>
        <w:trPr>
          <w:cantSplit/>
        </w:trPr>
        <w:tc>
          <w:tcPr>
            <w:tcW w:type="dxa" w:w="2447"/>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distance x au bord d’attaque</w:t>
            </w:r>
          </w:p>
        </w:tc>
        <w:tc>
          <w:tcPr>
            <w:tcW w:type="dxa" w:w="52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avant-projet : seule la géométrie est connue</w:t>
            </w:r>
          </w:p>
        </w:tc>
        <w:tc>
          <w:tcPr>
            <w:tcW w:type="dxa" w:w="16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corrélation</w:t>
            </w:r>
          </w:p>
        </w:tc>
      </w:tr>
    </w:tbl>
    <w:p>
      <w:pPr>
        <w:spacing w:after="160"/>
      </w:pPr>
    </w:p>
    <w:p>
      <w:pPr>
        <w:spacing w:after="140" w:line="276"/>
        <w:jc w:val="both"/>
      </w:pPr>
      <w:r>
        <w:rPr>
          <w:rFonts w:ascii="Calibri" w:cs="Calibri" w:eastAsia="Calibri" w:hAnsi="Calibri"/>
          <w:sz w:val="21"/>
          <w:szCs w:val="21"/>
        </w:rPr>
        <w:t xml:space="preserve">La troisième voie passe par une corrélation de plaque plane. Le script utilise la loi en 1/7 évaluée à la température de référence d’Eckert, ce qui est la façon habituelle de porter une loi incompressible en compressible :</w:t>
      </w:r>
    </w:p>
    <w:p>
      <w:pPr>
        <w:spacing w:after="160" w:before="160"/>
        <w:jc w:val="center"/>
      </w:pPr>
      <w:r>
        <w:rPr>
          <w:rFonts w:ascii="Cambria" w:cs="Cambria" w:eastAsia="Cambria" w:hAnsi="Cambria"/>
          <w:sz w:val="22"/>
          <w:szCs w:val="22"/>
        </w:rPr>
        <w:t xml:space="preserve">T* / T_e = 0,5 · (1 + T_w/T_e) + 0,22 · r · (γ−1)/2 · M²</w:t>
      </w:r>
    </w:p>
    <w:p>
      <w:pPr>
        <w:spacing w:after="160" w:before="160"/>
        <w:jc w:val="center"/>
      </w:pPr>
      <w:r>
        <w:rPr>
          <w:rFonts w:ascii="Cambria" w:cs="Cambria" w:eastAsia="Cambria" w:hAnsi="Cambria"/>
          <w:sz w:val="22"/>
          <w:szCs w:val="22"/>
        </w:rPr>
        <w:t xml:space="preserve">C_fe = 0,0592 · Re*ₓ^(−0,2) · ρ*/ρ_e          δ = 0,37 · x · Re*ₓ^(−0,2)</w:t>
      </w:r>
    </w:p>
    <w:p>
      <w:pPr>
        <w:spacing w:after="140" w:line="276"/>
        <w:jc w:val="both"/>
      </w:pPr>
      <w:r>
        <w:rPr>
          <w:rFonts w:ascii="Calibri" w:cs="Calibri" w:eastAsia="Calibri" w:hAnsi="Calibri"/>
          <w:sz w:val="21"/>
          <w:szCs w:val="21"/>
        </w:rPr>
        <w:t xml:space="preserve">avec r = Pr^(1/3) le facteur de récupération turbulent et T_w la température de paroi, prise adiabatique par défaut :</w:t>
      </w:r>
    </w:p>
    <w:p>
      <w:pPr>
        <w:spacing w:after="160" w:before="160"/>
        <w:jc w:val="center"/>
      </w:pPr>
      <w:r>
        <w:rPr>
          <w:rFonts w:ascii="Cambria" w:cs="Cambria" w:eastAsia="Cambria" w:hAnsi="Cambria"/>
          <w:sz w:val="22"/>
          <w:szCs w:val="22"/>
        </w:rPr>
        <w:t xml:space="preserve">T_w = T_e · ( 1 + r · (γ−1)/2 · M² )</w:t>
      </w:r>
    </w:p>
    <w:p>
      <w:pPr>
        <w:spacing w:after="140" w:line="276"/>
        <w:jc w:val="both"/>
      </w:pPr>
      <w:r>
        <w:rPr>
          <w:rFonts w:ascii="Calibri" w:cs="Calibri" w:eastAsia="Calibri" w:hAnsi="Calibri"/>
          <w:sz w:val="21"/>
          <w:szCs w:val="21"/>
        </w:rPr>
        <w:t xml:space="preserve">Les grandeurs pariétales qui entrent dans h⁺ se déduisent ensuite de T_w, la pression étant constante à travers la couche limite :</w:t>
      </w:r>
    </w:p>
    <w:p>
      <w:pPr>
        <w:spacing w:after="160" w:before="160"/>
        <w:jc w:val="center"/>
      </w:pPr>
      <w:r>
        <w:rPr>
          <w:rFonts w:ascii="Cambria" w:cs="Cambria" w:eastAsia="Cambria" w:hAnsi="Cambria"/>
          <w:sz w:val="22"/>
          <w:szCs w:val="22"/>
        </w:rPr>
        <w:t xml:space="preserve">ρ_w = p_e / (R · T_w)          ν_w = μ(T_w) / ρ_w</w:t>
      </w:r>
    </w:p>
    <w:p>
      <w:pPr>
        <w:spacing w:after="140" w:line="276"/>
        <w:jc w:val="both"/>
      </w:pPr>
      <w:r>
        <w:rPr>
          <w:rFonts w:ascii="Calibri" w:cs="Calibri" w:eastAsia="Calibri" w:hAnsi="Calibri"/>
          <w:sz w:val="21"/>
          <w:szCs w:val="21"/>
        </w:rPr>
        <w:t xml:space="preserve">où μ(T) est donnée par la loi de Sutherland. Cette troisième voie suppose une couche limite turbulente depuis le bord d’attaque, sans gradient de pression. Sur un profil réel, aucune des deux hypothèses n’est exacte : si un calcul CFD est disponible, il faut lui prendre τ_w directement.</w:t>
      </w:r>
    </w:p>
    <w:p>
      <w:pPr>
        <w:pStyle w:val="Heading2"/>
        <w:spacing w:after="140" w:before="280"/>
      </w:pPr>
      <w:bookmarkStart w:name="_Toc7" w:id="7"/>
      <w:r>
        <w:t xml:space="preserve">A.3.4  Le déroulé, étape par étape</w:t>
      </w:r>
      <w:bookmarkEnd w:id="7"/>
    </w:p>
    <w:p>
      <w:pPr>
        <w:spacing w:after="140" w:line="276"/>
        <w:jc w:val="both"/>
      </w:pPr>
      <w:r>
        <w:rPr>
          <w:rFonts w:ascii="Calibri" w:cs="Calibri" w:eastAsia="Calibri" w:hAnsi="Calibri"/>
          <w:sz w:val="21"/>
          <w:szCs w:val="21"/>
        </w:rPr>
        <w:t xml:space="preserve">Récapitulé sous forme de recette, le calcul tient en six étapes.</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471"/>
        <w:gridCol w:w="5930"/>
        <w:gridCol w:w="3011"/>
      </w:tblGrid>
      <w:tr>
        <w:trPr>
          <w:cantSplit/>
          <w:tblHeader/>
        </w:trPr>
        <w:tc>
          <w:tcPr>
            <w:tcW w:type="dxa" w:w="471"/>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
            </w:r>
          </w:p>
        </w:tc>
        <w:tc>
          <w:tcPr>
            <w:tcW w:type="dxa" w:w="5930"/>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Étape</w:t>
            </w:r>
          </w:p>
        </w:tc>
        <w:tc>
          <w:tcPr>
            <w:tcW w:type="dxa" w:w="3011"/>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Ce qu’on obtient</w:t>
            </w:r>
          </w:p>
        </w:tc>
      </w:tr>
      <w:tr>
        <w:trPr>
          <w:cantSplit/>
        </w:trPr>
        <w:tc>
          <w:tcPr>
            <w:tcW w:type="dxa" w:w="4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w:t>
            </w:r>
          </w:p>
        </w:tc>
        <w:tc>
          <w:tcPr>
            <w:tcW w:type="dxa" w:w="5930"/>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Établir les conditions LOCALES au bord de couche limite, à l’abscisse de l’aspérité : M, T_e, p_e</w:t>
            </w:r>
          </w:p>
        </w:tc>
        <w:tc>
          <w:tcPr>
            <w:tcW w:type="dxa" w:w="301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u_e, ρ_e, q_e</w:t>
            </w:r>
          </w:p>
        </w:tc>
      </w:tr>
      <w:tr>
        <w:trPr>
          <w:cantSplit/>
        </w:trPr>
        <w:tc>
          <w:tcPr>
            <w:tcW w:type="dxa" w:w="4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w:t>
            </w:r>
          </w:p>
        </w:tc>
        <w:tc>
          <w:tcPr>
            <w:tcW w:type="dxa" w:w="5930"/>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Obtenir le cisaillement pariétal de la configuration lisse (mesure, CFD, ou corrélation § A.3.3)</w:t>
            </w:r>
          </w:p>
        </w:tc>
        <w:tc>
          <w:tcPr>
            <w:tcW w:type="dxa" w:w="301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τ_w, C_fe, δ</w:t>
            </w:r>
          </w:p>
        </w:tc>
      </w:tr>
      <w:tr>
        <w:trPr>
          <w:cantSplit/>
        </w:trPr>
        <w:tc>
          <w:tcPr>
            <w:tcW w:type="dxa" w:w="4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3</w:t>
            </w:r>
          </w:p>
        </w:tc>
        <w:tc>
          <w:tcPr>
            <w:tcW w:type="dxa" w:w="5930"/>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En déduire les grandeurs pariétales et le nombre de Reynolds de rugosité</w:t>
            </w:r>
          </w:p>
        </w:tc>
        <w:tc>
          <w:tcPr>
            <w:tcW w:type="dxa" w:w="301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u_τ, ν_w, h⁺ = u_τ·h/ν_w</w:t>
            </w:r>
          </w:p>
        </w:tc>
      </w:tr>
      <w:tr>
        <w:trPr>
          <w:cantSplit/>
        </w:trPr>
        <w:tc>
          <w:tcPr>
            <w:tcW w:type="dxa" w:w="4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w:t>
            </w:r>
          </w:p>
        </w:tc>
        <w:tc>
          <w:tcPr>
            <w:tcW w:type="dxa" w:w="5930"/>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Lire le rapport de traînée de la géométrie concernée (§ A.4, A.5 ou A.6)</w:t>
            </w:r>
          </w:p>
        </w:tc>
        <w:tc>
          <w:tcPr>
            <w:tcW w:type="dxa" w:w="301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CDe/Cfe</w:t>
            </w:r>
          </w:p>
        </w:tc>
      </w:tr>
      <w:tr>
        <w:trPr>
          <w:cantSplit/>
        </w:trPr>
        <w:tc>
          <w:tcPr>
            <w:tcW w:type="dxa" w:w="4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5</w:t>
            </w:r>
          </w:p>
        </w:tc>
        <w:tc>
          <w:tcPr>
            <w:tcW w:type="dxa" w:w="5930"/>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Appliquer les corrections de forme : arrondi, chanfrein, épaisseur, biais</w:t>
            </w:r>
          </w:p>
        </w:tc>
        <w:tc>
          <w:tcPr>
            <w:tcW w:type="dxa" w:w="301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f_forme</w:t>
            </w:r>
          </w:p>
        </w:tc>
      </w:tr>
      <w:tr>
        <w:trPr>
          <w:cantSplit/>
        </w:trPr>
        <w:tc>
          <w:tcPr>
            <w:tcW w:type="dxa" w:w="4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6</w:t>
            </w:r>
          </w:p>
        </w:tc>
        <w:tc>
          <w:tcPr>
            <w:tcW w:type="dxa" w:w="5930"/>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Multiplier et, si besoin, amplifier (§ A.8)</w:t>
            </w:r>
          </w:p>
        </w:tc>
        <w:tc>
          <w:tcPr>
            <w:tcW w:type="dxa" w:w="301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ΔD, puis ΔCx</w:t>
            </w:r>
          </w:p>
        </w:tc>
      </w:tr>
    </w:tbl>
    <w:p>
      <w:pPr>
        <w:spacing w:after="160"/>
      </w:pPr>
    </w:p>
    <w:tbl>
      <w:tblPr>
        <w:tblW w:type="dxa" w:w="9412"/>
        <w:tblBorders>
          <w:top w:val="single" w:color="1F4E79" w:sz="6"/>
          <w:left w:val="single" w:color="1F4E79" w:sz="6"/>
          <w:bottom w:val="single" w:color="1F4E79" w:sz="6"/>
          <w:right w:val="single" w:color="1F4E79" w:sz="6"/>
          <w:insideH w:val="single" w:color="auto" w:sz="4"/>
          <w:insideV w:val="single" w:color="auto" w:sz="4"/>
        </w:tblBorders>
      </w:tblPr>
      <w:tblGrid>
        <w:gridCol w:w="9412"/>
      </w:tblGrid>
      <w:tr>
        <w:tc>
          <w:tcPr>
            <w:tcW w:type="dxa" w:w="9412"/>
            <w:shd w:fill="F2F7FC" w:color="auto" w:val="clear"/>
            <w:tcMar>
              <w:top w:type="dxa" w:w="140"/>
              <w:left w:type="dxa" w:w="180"/>
              <w:bottom w:type="dxa" w:w="140"/>
              <w:right w:type="dxa" w:w="180"/>
            </w:tcMar>
          </w:tcPr>
          <w:p>
            <w:pPr>
              <w:spacing w:after="80"/>
            </w:pPr>
            <w:r>
              <w:rPr>
                <w:rFonts w:ascii="Calibri" w:cs="Calibri" w:eastAsia="Calibri" w:hAnsi="Calibri"/>
                <w:caps/>
                <w:color w:val="1F4E79"/>
                <w:sz w:val="20"/>
                <w:szCs w:val="20"/>
              </w:rPr>
              <w:t xml:space="preserve">Le piège principal</w:t>
            </w:r>
          </w:p>
          <w:p>
            <w:pPr>
              <w:spacing w:after="60" w:line="264"/>
              <w:jc w:val="both"/>
            </w:pPr>
            <w:r>
              <w:rPr>
                <w:rFonts w:ascii="Calibri" w:cs="Calibri" w:eastAsia="Calibri" w:hAnsi="Calibri"/>
                <w:sz w:val="20"/>
                <w:szCs w:val="20"/>
              </w:rPr>
              <w:t xml:space="preserve">Les conditions demandées à l’étape 1 sont LOCALES : le nombre de Mach, la température et la pression au bord de la couche limite, à l’abscisse de l’aspérité — pas ceux de l’infini amont. Sur un extrados en croisière, le Mach local dépasse couramment M∞ de 0,05 à 0,10, et prendre M∞ sous-estime la traînée d’un bon tiers. C’est, de loin, la première source d’erreur, devant toute l’incertitude des corrélations elles-mêmes.</w:t>
            </w:r>
          </w:p>
        </w:tc>
      </w:tr>
    </w:tbl>
    <w:p>
      <w:r>
        <w:br w:type="page"/>
      </w:r>
    </w:p>
    <w:p>
      <w:pPr>
        <w:pStyle w:val="Heading1"/>
        <w:spacing w:after="140" w:before="360"/>
      </w:pPr>
      <w:bookmarkStart w:name="_Toc8" w:id="8"/>
      <w:r>
        <w:t xml:space="preserve">A.4  Marche montante</w:t>
      </w:r>
      <w:bookmarkEnd w:id="8"/>
    </w:p>
    <w:p>
      <w:pPr>
        <w:spacing w:after="140" w:line="276"/>
        <w:jc w:val="both"/>
      </w:pPr>
      <w:r>
        <w:rPr>
          <w:rFonts w:ascii="Calibri" w:cs="Calibri" w:eastAsia="Calibri" w:hAnsi="Calibri"/>
          <w:sz w:val="21"/>
          <w:szCs w:val="21"/>
        </w:rPr>
        <w:t xml:space="preserve">L’écoulement arrive sur une surface qui monte : panneau posé en recouvrement dans le mauvais sens, bord de trappe qui dépasse, couvre-joint rapporté. Le fluide est freiné devant la face amont, décolle à l’arête et recolle plus loin sur la surface haute. C’est la plus pénalisante des deux marches.</w:t>
      </w:r>
    </w:p>
    <w:p>
      <w:pPr>
        <w:pStyle w:val="Heading2"/>
        <w:spacing w:after="140" w:before="280"/>
      </w:pPr>
      <w:bookmarkStart w:name="_Toc9" w:id="9"/>
      <w:r>
        <w:t xml:space="preserve">A.4.1  La planche d’origine</w:t>
      </w:r>
      <w:bookmarkEnd w:id="9"/>
    </w:p>
    <w:p>
      <w:pPr>
        <w:keepNext/>
        <w:spacing w:after="60" w:before="220"/>
        <w:jc w:val="center"/>
      </w:pPr>
      <w:r>
        <w:drawing>
          <wp:inline distT="0" distB="0" distL="0" distR="0">
            <wp:extent cx="5715000" cy="40767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7670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A.2 — Figure 4.23 du rapport AGARD-AG-264, reproduite telle quelle : traînée des marches montantes 2-D normales à l’écoulement. En abscisse h⁺ en échelle logarithmique, en ordonnée CDe/Cfe.</w:t>
      </w:r>
    </w:p>
    <w:p>
      <w:pPr>
        <w:spacing w:after="140" w:line="276"/>
        <w:jc w:val="both"/>
      </w:pPr>
      <w:r>
        <w:rPr>
          <w:rFonts w:ascii="Calibri" w:cs="Calibri" w:eastAsia="Calibri" w:hAnsi="Calibri"/>
          <w:sz w:val="21"/>
          <w:szCs w:val="21"/>
        </w:rPr>
        <w:t xml:space="preserve">Trois droites sont tracées sur cette planche : deux en tiretés pour le subsonique (M = 0,2 et M = 0,8) et une en trait plein marquée « M &gt; 1 », qui vaut pour tout le supersonique. Le rapport le dit explicitement au § 4.3.1.1.1 : au-delà de M = 1,4, toutes les mesures se rangent sur une seule et même droite. La traînée de la marche montante croît donc avec le Mach jusqu’à 1,4, puis plafonne.</w:t>
      </w:r>
    </w:p>
    <w:p>
      <w:pPr>
        <w:spacing w:after="140" w:line="276"/>
        <w:jc w:val="both"/>
      </w:pPr>
      <w:r>
        <w:rPr>
          <w:rFonts w:ascii="Calibri" w:cs="Calibri" w:eastAsia="Calibri" w:hAnsi="Calibri"/>
          <w:sz w:val="21"/>
          <w:szCs w:val="21"/>
        </w:rPr>
        <w:t xml:space="preserve">Les droites subsoniques ne sont pas tracées en dessous de h⁺ ≈ 55 : il n’y a pas de point de mesure là. C’est ce qui justifie la borne particulière du § A.2.</w:t>
      </w:r>
    </w:p>
    <w:p>
      <w:pPr>
        <w:pStyle w:val="Heading2"/>
        <w:spacing w:after="140" w:before="280"/>
      </w:pPr>
      <w:bookmarkStart w:name="_Toc10" w:id="10"/>
      <w:r>
        <w:t xml:space="preserve">A.4.2  Ce qui en a été extrait</w:t>
      </w:r>
      <w:bookmarkEnd w:id="10"/>
    </w:p>
    <w:p>
      <w:pPr>
        <w:spacing w:after="140" w:line="276"/>
        <w:jc w:val="both"/>
      </w:pPr>
      <w:r>
        <w:rPr>
          <w:rFonts w:ascii="Calibri" w:cs="Calibri" w:eastAsia="Calibri" w:hAnsi="Calibri"/>
          <w:sz w:val="21"/>
          <w:szCs w:val="21"/>
        </w:rPr>
        <w:t xml:space="preserve">Les trois droites ont été relevées par traitement d’image sur le scan du rapport : isolement du tracé, puis ajustement par transformée de Hough. La figure suivante superpose le résultat, en tiretés de couleur, à la planche d’origine — le trait du rapport reste visible dessous.</w:t>
      </w:r>
    </w:p>
    <w:p>
      <w:pPr>
        <w:keepNext/>
        <w:spacing w:after="60" w:before="220"/>
        <w:jc w:val="center"/>
      </w:pPr>
      <w:r>
        <w:drawing>
          <wp:inline distT="0" distB="0" distL="0" distR="0">
            <wp:extent cx="5715000" cy="3238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3850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A.3 — Vérification de l’extraction : en tiretés, les droites retenues ; en trait plein noir, celles du rapport. Vert M = 0,2, bleu M = 0,8, rouge M ≥ 1,4.</w:t>
      </w:r>
    </w:p>
    <w:p>
      <w:pPr>
        <w:keepNext/>
        <w:spacing w:after="60" w:before="220"/>
        <w:jc w:val="center"/>
      </w:pPr>
      <w:r>
        <w:drawing>
          <wp:inline distT="0" distB="0" distL="0" distR="0">
            <wp:extent cx="5334000" cy="34099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0995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A.4 — L’extraction seule, redessinée depuis les coefficients du tableau ci-dessous. C’est ce que le script calcule.</w:t>
      </w:r>
    </w:p>
    <w:p>
      <w:pPr>
        <w:spacing w:after="140" w:line="276"/>
        <w:jc w:val="both"/>
      </w:pPr>
      <w:r>
        <w:rPr>
          <w:rFonts w:ascii="Calibri" w:cs="Calibri" w:eastAsia="Calibri" w:hAnsi="Calibri"/>
          <w:sz w:val="21"/>
          <w:szCs w:val="21"/>
        </w:rPr>
        <w:t xml:space="preserve">Les coefficients retenus sont les suivants. Ils sont issus d’une lecture de figure : l’incertitude de numérisation est de l’ordre de ± 3 sur CDe/Cfe, à quoi s’ajoute la dispersion expérimentale, bien visible sur la planche d’origine.</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2071"/>
        <w:gridCol w:w="1506"/>
        <w:gridCol w:w="1506"/>
        <w:gridCol w:w="2259"/>
        <w:gridCol w:w="2070"/>
      </w:tblGrid>
      <w:tr>
        <w:trPr>
          <w:cantSplit/>
          <w:tblHeader/>
        </w:trPr>
        <w:tc>
          <w:tcPr>
            <w:tcW w:type="dxa" w:w="2071"/>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Mach local</w:t>
            </w:r>
          </w:p>
        </w:tc>
        <w:tc>
          <w:tcPr>
            <w:tcW w:type="dxa" w:w="1506"/>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A</w:t>
            </w:r>
          </w:p>
        </w:tc>
        <w:tc>
          <w:tcPr>
            <w:tcW w:type="dxa" w:w="1506"/>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B</w:t>
            </w:r>
          </w:p>
        </w:tc>
        <w:tc>
          <w:tcPr>
            <w:tcW w:type="dxa" w:w="2259"/>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CDe/Cfe à h⁺ = 100</w:t>
            </w:r>
          </w:p>
        </w:tc>
        <w:tc>
          <w:tcPr>
            <w:tcW w:type="dxa" w:w="20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à h⁺ = 1 000</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0,2</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60,0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−79,0</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41,0</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101,0</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0,8</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61,5</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−74,0</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49,0</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110,5</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 1,4</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76,8</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−59,5</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94,1</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170,9</w:t>
            </w:r>
          </w:p>
        </w:tc>
      </w:tr>
    </w:tbl>
    <w:p>
      <w:pPr>
        <w:spacing w:after="160"/>
      </w:pPr>
    </w:p>
    <w:p>
      <w:pPr>
        <w:pStyle w:val="Heading2"/>
        <w:spacing w:after="140" w:before="280"/>
      </w:pPr>
      <w:bookmarkStart w:name="_Toc11" w:id="11"/>
      <w:r>
        <w:t xml:space="preserve">A.4.3  Les formules appliquées</w:t>
      </w:r>
      <w:bookmarkEnd w:id="11"/>
    </w:p>
    <w:p>
      <w:pPr>
        <w:spacing w:after="140" w:line="276"/>
        <w:jc w:val="both"/>
      </w:pPr>
      <w:r>
        <w:rPr>
          <w:rFonts w:ascii="Calibri" w:cs="Calibri" w:eastAsia="Calibri" w:hAnsi="Calibri"/>
          <w:sz w:val="21"/>
          <w:szCs w:val="21"/>
        </w:rPr>
        <w:t xml:space="preserve">Hors de la plage transsonique, on lit directement la droite du Mach considéré, en interpolant linéairement en Mach entre les droites tabulées :</w:t>
      </w:r>
    </w:p>
    <w:p>
      <w:pPr>
        <w:spacing w:after="160" w:before="160"/>
        <w:jc w:val="center"/>
      </w:pPr>
      <w:r>
        <w:rPr>
          <w:rFonts w:ascii="Cambria" w:cs="Cambria" w:eastAsia="Cambria" w:hAnsi="Cambria"/>
          <w:sz w:val="22"/>
          <w:szCs w:val="22"/>
        </w:rPr>
        <w:t xml:space="preserve">CDe/Cfe = A(M) · log₁₀(h⁺) + B(M)          M ≤ 0,8  ou  M ≥ 1,4</w:t>
      </w:r>
      <w:r>
        <w:rPr>
          <w:rFonts w:ascii="Calibri" w:cs="Calibri" w:eastAsia="Calibri" w:hAnsi="Calibri"/>
          <w:color w:val="595959"/>
          <w:sz w:val="18"/>
          <w:szCs w:val="18"/>
        </w:rPr>
        <w:t xml:space="preserve">          éq. 4(26)</w:t>
      </w:r>
    </w:p>
    <w:p>
      <w:pPr>
        <w:spacing w:after="140" w:line="276"/>
        <w:jc w:val="both"/>
      </w:pPr>
      <w:r>
        <w:rPr>
          <w:rFonts w:ascii="Calibri" w:cs="Calibri" w:eastAsia="Calibri" w:hAnsi="Calibri"/>
          <w:sz w:val="21"/>
          <w:szCs w:val="21"/>
        </w:rPr>
        <w:t xml:space="preserve">L’interpolation porte sur le rapport de traînée, pas sur les coefficients A et B pris séparément : B est une ordonnée à l’origine en h⁺ = 1, une décade sous tout ce qui a été mesuré, et interpoler B seul n’aurait pas de sens physique.</w:t>
      </w:r>
    </w:p>
    <w:p>
      <w:pPr>
        <w:pStyle w:val="Heading2"/>
        <w:spacing w:after="140" w:before="280"/>
      </w:pPr>
      <w:bookmarkStart w:name="_Toc12" w:id="12"/>
      <w:r>
        <w:t xml:space="preserve">A.4.4  Le transsonique</w:t>
      </w:r>
      <w:bookmarkEnd w:id="12"/>
    </w:p>
    <w:p>
      <w:pPr>
        <w:spacing w:after="140" w:line="276"/>
        <w:jc w:val="both"/>
      </w:pPr>
      <w:r>
        <w:rPr>
          <w:rFonts w:ascii="Calibri" w:cs="Calibri" w:eastAsia="Calibri" w:hAnsi="Calibri"/>
          <w:sz w:val="21"/>
          <w:szCs w:val="21"/>
        </w:rPr>
        <w:t xml:space="preserve">Entre M = 0,8 et M = 1,4, on n’interpole pas linéairement. Le rapport fournit un facteur de mélange mesuré, noté PC₁, qui pondère les deux droites encadrantes :</w:t>
      </w:r>
    </w:p>
    <w:p>
      <w:pPr>
        <w:spacing w:after="160" w:before="160"/>
        <w:jc w:val="center"/>
      </w:pPr>
      <w:r>
        <w:rPr>
          <w:rFonts w:ascii="Cambria" w:cs="Cambria" w:eastAsia="Cambria" w:hAnsi="Cambria"/>
          <w:sz w:val="22"/>
          <w:szCs w:val="22"/>
        </w:rPr>
        <w:t xml:space="preserve">(CDe/Cfe)_M = (CDe/Cfe)_{M=0,8} + PC₁ · [ (CDe/Cfe)_{M=1,4} − (CDe/Cfe)_{M=0,8} ]</w:t>
      </w:r>
      <w:r>
        <w:rPr>
          <w:rFonts w:ascii="Calibri" w:cs="Calibri" w:eastAsia="Calibri" w:hAnsi="Calibri"/>
          <w:color w:val="595959"/>
          <w:sz w:val="18"/>
          <w:szCs w:val="18"/>
        </w:rPr>
        <w:t xml:space="preserve">          éq. 4(27)</w:t>
      </w:r>
    </w:p>
    <w:p>
      <w:pPr>
        <w:keepNext/>
        <w:spacing w:after="60" w:before="220"/>
        <w:jc w:val="center"/>
      </w:pPr>
      <w:r>
        <w:drawing>
          <wp:inline distT="0" distB="0" distL="0" distR="0">
            <wp:extent cx="4191000" cy="48672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4867275"/>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A.5 — Figure 4.25 du rapport : le facteur PC₁ en fonction du Mach. Par construction PC₁(0,8) = 0 et PC₁(1,4) = 1.</w:t>
      </w:r>
    </w:p>
    <w:p>
      <w:pPr>
        <w:keepNext/>
        <w:spacing w:after="60" w:before="220"/>
        <w:jc w:val="center"/>
      </w:pPr>
      <w:r>
        <w:drawing>
          <wp:inline distT="0" distB="0" distL="0" distR="0">
            <wp:extent cx="4953000" cy="30289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2895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A.6 — Extraction de PC₁. Les cercles sont les symboles de mesure relevés un à un sur la planche ; le trait est l’interpolation linéaire par morceaux utilisée par le script.</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941"/>
        <w:gridCol w:w="770"/>
        <w:gridCol w:w="770"/>
        <w:gridCol w:w="770"/>
        <w:gridCol w:w="770"/>
        <w:gridCol w:w="770"/>
        <w:gridCol w:w="770"/>
        <w:gridCol w:w="770"/>
        <w:gridCol w:w="770"/>
        <w:gridCol w:w="770"/>
        <w:gridCol w:w="770"/>
        <w:gridCol w:w="771"/>
      </w:tblGrid>
      <w:tr>
        <w:trPr>
          <w:cantSplit/>
          <w:tblHeader/>
        </w:trPr>
        <w:tc>
          <w:tcPr>
            <w:tcW w:type="dxa" w:w="941"/>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M</w:t>
            </w:r>
          </w:p>
        </w:tc>
        <w:tc>
          <w:tcPr>
            <w:tcW w:type="dxa" w:w="7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0,80</w:t>
            </w:r>
          </w:p>
        </w:tc>
        <w:tc>
          <w:tcPr>
            <w:tcW w:type="dxa" w:w="7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0,85</w:t>
            </w:r>
          </w:p>
        </w:tc>
        <w:tc>
          <w:tcPr>
            <w:tcW w:type="dxa" w:w="7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0,90</w:t>
            </w:r>
          </w:p>
        </w:tc>
        <w:tc>
          <w:tcPr>
            <w:tcW w:type="dxa" w:w="7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0,95</w:t>
            </w:r>
          </w:p>
        </w:tc>
        <w:tc>
          <w:tcPr>
            <w:tcW w:type="dxa" w:w="7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1,00</w:t>
            </w:r>
          </w:p>
        </w:tc>
        <w:tc>
          <w:tcPr>
            <w:tcW w:type="dxa" w:w="7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1,05</w:t>
            </w:r>
          </w:p>
        </w:tc>
        <w:tc>
          <w:tcPr>
            <w:tcW w:type="dxa" w:w="7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1,10</w:t>
            </w:r>
          </w:p>
        </w:tc>
        <w:tc>
          <w:tcPr>
            <w:tcW w:type="dxa" w:w="7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1,15</w:t>
            </w:r>
          </w:p>
        </w:tc>
        <w:tc>
          <w:tcPr>
            <w:tcW w:type="dxa" w:w="7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1,20</w:t>
            </w:r>
          </w:p>
        </w:tc>
        <w:tc>
          <w:tcPr>
            <w:tcW w:type="dxa" w:w="7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1,30</w:t>
            </w:r>
          </w:p>
        </w:tc>
        <w:tc>
          <w:tcPr>
            <w:tcW w:type="dxa" w:w="771"/>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1,40</w:t>
            </w:r>
          </w:p>
        </w:tc>
      </w:tr>
      <w:tr>
        <w:trPr>
          <w:cantSplit/>
        </w:trPr>
        <w:tc>
          <w:tcPr>
            <w:tcW w:type="dxa" w:w="9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PC₁</w:t>
            </w:r>
          </w:p>
        </w:tc>
        <w:tc>
          <w:tcPr>
            <w:tcW w:type="dxa" w:w="7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0,000</w:t>
            </w:r>
          </w:p>
        </w:tc>
        <w:tc>
          <w:tcPr>
            <w:tcW w:type="dxa" w:w="7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0,022</w:t>
            </w:r>
          </w:p>
        </w:tc>
        <w:tc>
          <w:tcPr>
            <w:tcW w:type="dxa" w:w="7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0,052</w:t>
            </w:r>
          </w:p>
        </w:tc>
        <w:tc>
          <w:tcPr>
            <w:tcW w:type="dxa" w:w="7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0,094</w:t>
            </w:r>
          </w:p>
        </w:tc>
        <w:tc>
          <w:tcPr>
            <w:tcW w:type="dxa" w:w="7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0,193</w:t>
            </w:r>
          </w:p>
        </w:tc>
        <w:tc>
          <w:tcPr>
            <w:tcW w:type="dxa" w:w="7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0,399</w:t>
            </w:r>
          </w:p>
        </w:tc>
        <w:tc>
          <w:tcPr>
            <w:tcW w:type="dxa" w:w="7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0,567</w:t>
            </w:r>
          </w:p>
        </w:tc>
        <w:tc>
          <w:tcPr>
            <w:tcW w:type="dxa" w:w="7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0,615</w:t>
            </w:r>
          </w:p>
        </w:tc>
        <w:tc>
          <w:tcPr>
            <w:tcW w:type="dxa" w:w="7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0,720</w:t>
            </w:r>
          </w:p>
        </w:tc>
        <w:tc>
          <w:tcPr>
            <w:tcW w:type="dxa" w:w="7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0,871</w:t>
            </w:r>
          </w:p>
        </w:tc>
        <w:tc>
          <w:tcPr>
            <w:tcW w:type="dxa" w:w="7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1,000</w:t>
            </w:r>
          </w:p>
        </w:tc>
      </w:tr>
    </w:tbl>
    <w:p>
      <w:pPr>
        <w:spacing w:after="160"/>
      </w:pPr>
    </w:p>
    <w:p>
      <w:pPr>
        <w:pStyle w:val="Heading2"/>
        <w:spacing w:after="140" w:before="280"/>
      </w:pPr>
      <w:bookmarkStart w:name="_Toc13" w:id="13"/>
      <w:r>
        <w:t xml:space="preserve">A.4.5  Arête adoucie : arrondi et chanfrein</w:t>
      </w:r>
      <w:bookmarkEnd w:id="13"/>
    </w:p>
    <w:p>
      <w:pPr>
        <w:spacing w:after="140" w:line="276"/>
        <w:jc w:val="both"/>
      </w:pPr>
      <w:r>
        <w:rPr>
          <w:rFonts w:ascii="Calibri" w:cs="Calibri" w:eastAsia="Calibri" w:hAnsi="Calibri"/>
          <w:sz w:val="21"/>
          <w:szCs w:val="21"/>
        </w:rPr>
        <w:t xml:space="preserve">Casser ou arrondir l’arête amont réduit la traînée, parfois beaucoup. Le rapport donne deux familles de courbes, une par traitement, chacune indexée par le Mach.</w:t>
      </w:r>
    </w:p>
    <w:p>
      <w:pPr>
        <w:keepNext/>
        <w:spacing w:after="60" w:before="220"/>
        <w:jc w:val="center"/>
      </w:pPr>
      <w:r>
        <w:drawing>
          <wp:inline distT="0" distB="0" distL="0" distR="0">
            <wp:extent cx="5143500" cy="26955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695575"/>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A.7 — Figure 4.26(a) du rapport : réduction relative E due à l’arrondi de l’arête amont, en fonction de r/h.</w:t>
      </w:r>
    </w:p>
    <w:p>
      <w:pPr>
        <w:keepNext/>
        <w:spacing w:after="60" w:before="220"/>
        <w:jc w:val="center"/>
      </w:pPr>
      <w:r>
        <w:drawing>
          <wp:inline distT="0" distB="0" distL="0" distR="0">
            <wp:extent cx="5143500" cy="34385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438525"/>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A.8 — Figure 4.26(b) : réduction relative E due au chanfrein, en fonction de l’angle θ. θ = 90° est la marche vive, θ = 0 le carénage complet.</w:t>
      </w:r>
    </w:p>
    <w:p>
      <w:pPr>
        <w:keepNext/>
        <w:spacing w:after="60" w:before="220"/>
        <w:jc w:val="center"/>
      </w:pPr>
      <w:r>
        <w:drawing>
          <wp:inline distT="0" distB="0" distL="0" distR="0">
            <wp:extent cx="5715000" cy="21907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19075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A.9 — Extraction des deux familles. Incertitude de numérisation ± 0,03 sur l’arrondi, ± 0,04 sur le chanfrein.</w:t>
      </w:r>
    </w:p>
    <w:p>
      <w:pPr>
        <w:spacing w:after="140" w:line="276"/>
        <w:jc w:val="both"/>
      </w:pPr>
      <w:r>
        <w:rPr>
          <w:rFonts w:ascii="Calibri" w:cs="Calibri" w:eastAsia="Calibri" w:hAnsi="Calibri"/>
          <w:sz w:val="21"/>
          <w:szCs w:val="21"/>
        </w:rPr>
        <w:t xml:space="preserve">Les deux corrections s’appliquent en facteur multiplicatif sur le rapport de traînée de la marche vive :</w:t>
      </w:r>
    </w:p>
    <w:p>
      <w:pPr>
        <w:spacing w:after="160" w:before="160"/>
        <w:jc w:val="center"/>
      </w:pPr>
      <w:r>
        <w:rPr>
          <w:rFonts w:ascii="Cambria" w:cs="Cambria" w:eastAsia="Cambria" w:hAnsi="Cambria"/>
          <w:sz w:val="22"/>
          <w:szCs w:val="22"/>
        </w:rPr>
        <w:t xml:space="preserve">(CDe/Cfe)_r = (CDe/Cfe)_{r=0} × [ 1 − E(r/h, M) ]</w:t>
      </w:r>
      <w:r>
        <w:rPr>
          <w:rFonts w:ascii="Calibri" w:cs="Calibri" w:eastAsia="Calibri" w:hAnsi="Calibri"/>
          <w:color w:val="595959"/>
          <w:sz w:val="18"/>
          <w:szCs w:val="18"/>
        </w:rPr>
        <w:t xml:space="preserve">          éq. 4(28)</w:t>
      </w:r>
    </w:p>
    <w:p>
      <w:pPr>
        <w:spacing w:after="160" w:before="160"/>
        <w:jc w:val="center"/>
      </w:pPr>
      <w:r>
        <w:rPr>
          <w:rFonts w:ascii="Cambria" w:cs="Cambria" w:eastAsia="Cambria" w:hAnsi="Cambria"/>
          <w:sz w:val="22"/>
          <w:szCs w:val="22"/>
        </w:rPr>
        <w:t xml:space="preserve">(CDe/Cfe)_θ = (CDe/Cfe)_{θ=90°} × [ 1 − E(θ, M) ]</w:t>
      </w:r>
      <w:r>
        <w:rPr>
          <w:rFonts w:ascii="Calibri" w:cs="Calibri" w:eastAsia="Calibri" w:hAnsi="Calibri"/>
          <w:color w:val="595959"/>
          <w:sz w:val="18"/>
          <w:szCs w:val="18"/>
        </w:rPr>
        <w:t xml:space="preserve">          éq. 4(29)</w:t>
      </w:r>
    </w:p>
    <w:p>
      <w:pPr>
        <w:spacing w:after="140" w:line="276"/>
        <w:jc w:val="both"/>
      </w:pPr>
      <w:r>
        <w:rPr>
          <w:rFonts w:ascii="Calibri" w:cs="Calibri" w:eastAsia="Calibri" w:hAnsi="Calibri"/>
          <w:sz w:val="21"/>
          <w:szCs w:val="21"/>
        </w:rPr>
        <w:t xml:space="preserve">Quelques ordres de grandeur, qui donnent la mesure de ce qu’on peut attendre d’un geste de fabrication :</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3200"/>
        <w:gridCol w:w="3106"/>
        <w:gridCol w:w="3106"/>
      </w:tblGrid>
      <w:tr>
        <w:trPr>
          <w:cantSplit/>
          <w:tblHeader/>
        </w:trPr>
        <w:tc>
          <w:tcPr>
            <w:tcW w:type="dxa" w:w="3200"/>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Geste</w:t>
            </w:r>
          </w:p>
        </w:tc>
        <w:tc>
          <w:tcPr>
            <w:tcW w:type="dxa" w:w="3106"/>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M = 0,8</w:t>
            </w:r>
          </w:p>
        </w:tc>
        <w:tc>
          <w:tcPr>
            <w:tcW w:type="dxa" w:w="3106"/>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M = 2,0</w:t>
            </w:r>
          </w:p>
        </w:tc>
      </w:tr>
      <w:tr>
        <w:trPr>
          <w:cantSplit/>
        </w:trPr>
        <w:tc>
          <w:tcPr>
            <w:tcW w:type="dxa" w:w="3200"/>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arrondi r/h = 0,4</w:t>
            </w:r>
          </w:p>
        </w:tc>
        <w:tc>
          <w:tcPr>
            <w:tcW w:type="dxa" w:w="31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0,39  (−61 %)</w:t>
            </w:r>
          </w:p>
        </w:tc>
        <w:tc>
          <w:tcPr>
            <w:tcW w:type="dxa" w:w="31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0,95  (−5 %)</w:t>
            </w:r>
          </w:p>
        </w:tc>
      </w:tr>
      <w:tr>
        <w:trPr>
          <w:cantSplit/>
        </w:trPr>
        <w:tc>
          <w:tcPr>
            <w:tcW w:type="dxa" w:w="3200"/>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chanfrein θ = 45°</w:t>
            </w:r>
          </w:p>
        </w:tc>
        <w:tc>
          <w:tcPr>
            <w:tcW w:type="dxa" w:w="31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0,48  (−52 %)</w:t>
            </w:r>
          </w:p>
        </w:tc>
        <w:tc>
          <w:tcPr>
            <w:tcW w:type="dxa" w:w="31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0,89  (−11 %)</w:t>
            </w:r>
          </w:p>
        </w:tc>
      </w:tr>
      <w:tr>
        <w:trPr>
          <w:cantSplit/>
        </w:trPr>
        <w:tc>
          <w:tcPr>
            <w:tcW w:type="dxa" w:w="3200"/>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chanfrein θ = 30°</w:t>
            </w:r>
          </w:p>
        </w:tc>
        <w:tc>
          <w:tcPr>
            <w:tcW w:type="dxa" w:w="31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0,29  (−71 %)</w:t>
            </w:r>
          </w:p>
        </w:tc>
        <w:tc>
          <w:tcPr>
            <w:tcW w:type="dxa" w:w="31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0,82  (−18 %)</w:t>
            </w:r>
          </w:p>
        </w:tc>
      </w:tr>
      <w:tr>
        <w:trPr>
          <w:cantSplit/>
        </w:trPr>
        <w:tc>
          <w:tcPr>
            <w:tcW w:type="dxa" w:w="3200"/>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chanfrein θ = 15°</w:t>
            </w:r>
          </w:p>
        </w:tc>
        <w:tc>
          <w:tcPr>
            <w:tcW w:type="dxa" w:w="31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0,16  (−84 %)</w:t>
            </w:r>
          </w:p>
        </w:tc>
        <w:tc>
          <w:tcPr>
            <w:tcW w:type="dxa" w:w="31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0,64  (−36 %)</w:t>
            </w:r>
          </w:p>
        </w:tc>
      </w:tr>
    </w:tbl>
    <w:p>
      <w:pPr>
        <w:spacing w:after="160"/>
      </w:pPr>
    </w:p>
    <w:tbl>
      <w:tblPr>
        <w:tblW w:type="dxa" w:w="9412"/>
        <w:tblBorders>
          <w:top w:val="single" w:color="1F4E79" w:sz="6"/>
          <w:left w:val="single" w:color="1F4E79" w:sz="6"/>
          <w:bottom w:val="single" w:color="1F4E79" w:sz="6"/>
          <w:right w:val="single" w:color="1F4E79" w:sz="6"/>
          <w:insideH w:val="single" w:color="auto" w:sz="4"/>
          <w:insideV w:val="single" w:color="auto" w:sz="4"/>
        </w:tblBorders>
      </w:tblPr>
      <w:tblGrid>
        <w:gridCol w:w="9412"/>
      </w:tblGrid>
      <w:tr>
        <w:tc>
          <w:tcPr>
            <w:tcW w:type="dxa" w:w="9412"/>
            <w:shd w:fill="F2F7FC" w:color="auto" w:val="clear"/>
            <w:tcMar>
              <w:top w:type="dxa" w:w="140"/>
              <w:left w:type="dxa" w:w="180"/>
              <w:bottom w:type="dxa" w:w="140"/>
              <w:right w:type="dxa" w:w="180"/>
            </w:tcMar>
          </w:tcPr>
          <w:p>
            <w:pPr>
              <w:spacing w:after="80"/>
            </w:pPr>
            <w:r>
              <w:rPr>
                <w:rFonts w:ascii="Calibri" w:cs="Calibri" w:eastAsia="Calibri" w:hAnsi="Calibri"/>
                <w:caps/>
                <w:color w:val="1F4E79"/>
                <w:sz w:val="20"/>
                <w:szCs w:val="20"/>
              </w:rPr>
              <w:t xml:space="preserve">À retenir</w:t>
            </w:r>
          </w:p>
          <w:p>
            <w:pPr>
              <w:spacing w:after="60" w:line="264"/>
              <w:jc w:val="both"/>
            </w:pPr>
            <w:r>
              <w:rPr>
                <w:rFonts w:ascii="Calibri" w:cs="Calibri" w:eastAsia="Calibri" w:hAnsi="Calibri"/>
                <w:sz w:val="20"/>
                <w:szCs w:val="20"/>
              </w:rPr>
              <w:t xml:space="preserve">Le bénéfice d’une arête adoucie s’effondre avec le Mach. Ce qui fait gagner 60 à 70 % en subsonique n’en fait plus gagner que 5 à 35 % à M = 2. Un chanfrein se justifie sur un avion de transport ; il ne se justifie plus de la même façon sur un engin supersonique.</w:t>
            </w:r>
          </w:p>
        </w:tc>
      </w:tr>
    </w:tbl>
    <w:p>
      <w:r>
        <w:br w:type="page"/>
      </w:r>
    </w:p>
    <w:p>
      <w:pPr>
        <w:pStyle w:val="Heading1"/>
        <w:spacing w:after="140" w:before="360"/>
      </w:pPr>
      <w:bookmarkStart w:name="_Toc14" w:id="14"/>
      <w:r>
        <w:t xml:space="preserve">A.5  Marche descendante</w:t>
      </w:r>
      <w:bookmarkEnd w:id="14"/>
    </w:p>
    <w:p>
      <w:pPr>
        <w:spacing w:after="140" w:line="276"/>
        <w:jc w:val="both"/>
      </w:pPr>
      <w:r>
        <w:rPr>
          <w:rFonts w:ascii="Calibri" w:cs="Calibri" w:eastAsia="Calibri" w:hAnsi="Calibri"/>
          <w:sz w:val="21"/>
          <w:szCs w:val="21"/>
        </w:rPr>
        <w:t xml:space="preserve">L’écoulement quitte une surface qui descend : décrochement vers l’arrière, aval d’un joint de panneau, lèvre d’une trappe affleurante. Le fluide décolle à l’arête, forme un bulbe de recirculation dans le creux, et recolle quelques hauteurs de marche plus loin. Le mécanisme est moins coûteux que celui de la marche montante.</w:t>
      </w:r>
    </w:p>
    <w:p>
      <w:pPr>
        <w:pStyle w:val="Heading2"/>
        <w:spacing w:after="140" w:before="280"/>
      </w:pPr>
      <w:bookmarkStart w:name="_Toc15" w:id="15"/>
      <w:r>
        <w:t xml:space="preserve">A.5.1  La planche d’origine</w:t>
      </w:r>
      <w:bookmarkEnd w:id="15"/>
    </w:p>
    <w:p>
      <w:pPr>
        <w:keepNext/>
        <w:spacing w:after="60" w:before="220"/>
        <w:jc w:val="center"/>
      </w:pPr>
      <w:r>
        <w:drawing>
          <wp:inline distT="0" distB="0" distL="0" distR="0">
            <wp:extent cx="5715000" cy="45243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524375"/>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A.10 — Figure 4.28 du rapport : traînée des marches descendantes vives. Sept droites, de M = 0,2 à M = 2,8.</w:t>
      </w:r>
    </w:p>
    <w:p>
      <w:pPr>
        <w:spacing w:after="140" w:line="276"/>
        <w:jc w:val="both"/>
      </w:pPr>
      <w:r>
        <w:rPr>
          <w:rFonts w:ascii="Calibri" w:cs="Calibri" w:eastAsia="Calibri" w:hAnsi="Calibri"/>
          <w:sz w:val="21"/>
          <w:szCs w:val="21"/>
        </w:rPr>
        <w:t xml:space="preserve">Le rapport prévient lui-même, au § 4.3.1.2.1, que la dispersion est ici nettement plus forte que pour la marche montante, et il en donne deux raisons : la couche limite amont des essais ARA était « rugueuse-turbulente » plutôt que lisse, et la correction de flottabilité de la balance pesait une part plus grande de l’effort mesuré.</w:t>
      </w:r>
    </w:p>
    <w:p>
      <w:pPr>
        <w:pStyle w:val="Heading2"/>
        <w:spacing w:after="140" w:before="280"/>
      </w:pPr>
      <w:bookmarkStart w:name="_Toc16" w:id="16"/>
      <w:r>
        <w:t xml:space="preserve">A.5.2  Ce qui en a été extrait</w:t>
      </w:r>
      <w:bookmarkEnd w:id="16"/>
    </w:p>
    <w:p>
      <w:pPr>
        <w:spacing w:after="140" w:line="276"/>
        <w:jc w:val="both"/>
      </w:pPr>
      <w:r>
        <w:rPr>
          <w:rFonts w:ascii="Calibri" w:cs="Calibri" w:eastAsia="Calibri" w:hAnsi="Calibri"/>
          <w:sz w:val="21"/>
          <w:szCs w:val="21"/>
        </w:rPr>
        <w:t xml:space="preserve">Les sept droites ont été extraites une à une, par transformée de Hough à pente sélective : on cherche la pente avant de chercher la position, sinon les droites les plus serrées se confondent. L’ordre des courbes supersoniques, qui se croisent au voisinage de M = 2, a été fixé par la phrase du rapport imposant une traînée décroissante au-delà de M = 1,4.</w:t>
      </w:r>
    </w:p>
    <w:p>
      <w:pPr>
        <w:keepNext/>
        <w:spacing w:after="60" w:before="220"/>
        <w:jc w:val="center"/>
      </w:pPr>
      <w:r>
        <w:drawing>
          <wp:inline distT="0" distB="0" distL="0" distR="0">
            <wp:extent cx="5715000" cy="261937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19375"/>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A.11 — Vérification de l’extraction sur la planche d’origine. Vert M = 0,2, bleu M = 0,8, rouge M = 1,4, orange M = 1,7, magenta M = 2,0, cyan M = 2,2, brun M = 2,8.</w:t>
      </w:r>
    </w:p>
    <w:p>
      <w:pPr>
        <w:keepNext/>
        <w:spacing w:after="60" w:before="220"/>
        <w:jc w:val="center"/>
      </w:pPr>
      <w:r>
        <w:drawing>
          <wp:inline distT="0" distB="0" distL="0" distR="0">
            <wp:extent cx="5334000" cy="34099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40995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A.12 — L’extraction seule.</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2071"/>
        <w:gridCol w:w="1506"/>
        <w:gridCol w:w="1506"/>
        <w:gridCol w:w="2259"/>
        <w:gridCol w:w="2070"/>
      </w:tblGrid>
      <w:tr>
        <w:trPr>
          <w:cantSplit/>
          <w:tblHeader/>
        </w:trPr>
        <w:tc>
          <w:tcPr>
            <w:tcW w:type="dxa" w:w="2071"/>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Mach local</w:t>
            </w:r>
          </w:p>
        </w:tc>
        <w:tc>
          <w:tcPr>
            <w:tcW w:type="dxa" w:w="1506"/>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A</w:t>
            </w:r>
          </w:p>
        </w:tc>
        <w:tc>
          <w:tcPr>
            <w:tcW w:type="dxa" w:w="1506"/>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B</w:t>
            </w:r>
          </w:p>
        </w:tc>
        <w:tc>
          <w:tcPr>
            <w:tcW w:type="dxa" w:w="2259"/>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CDe/Cfe à h⁺ = 100</w:t>
            </w:r>
          </w:p>
        </w:tc>
        <w:tc>
          <w:tcPr>
            <w:tcW w:type="dxa" w:w="20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à h⁺ = 1 000</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0,2</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16,0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−7,5</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24,5</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40,5</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0,8</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20,0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−13,0</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27,0</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47,0</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1,4</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49,0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−21,2</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76,8</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125,8</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1,7</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52,0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−35,2</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68,8</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120,8</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2,0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44,0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−19,2</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68,8</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112,8</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2,2</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33,0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+4,8</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70,8</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103,8</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2,8</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36,0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−15,8</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56,2</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92,2</w:t>
            </w:r>
          </w:p>
        </w:tc>
      </w:tr>
    </w:tbl>
    <w:p>
      <w:pPr>
        <w:spacing w:after="160"/>
      </w:pPr>
    </w:p>
    <w:p>
      <w:pPr>
        <w:spacing w:after="140" w:line="276"/>
        <w:jc w:val="both"/>
      </w:pPr>
      <w:r>
        <w:rPr>
          <w:rFonts w:ascii="Calibri" w:cs="Calibri" w:eastAsia="Calibri" w:hAnsi="Calibri"/>
          <w:sz w:val="21"/>
          <w:szCs w:val="21"/>
        </w:rPr>
        <w:t xml:space="preserve">Incertitude de numérisation : ± 4 sur CDe/Cfe. Les formules sont les mêmes qu’au § A.4.3, avec cette table.</w:t>
      </w:r>
    </w:p>
    <w:p>
      <w:pPr>
        <w:pStyle w:val="Heading2"/>
        <w:spacing w:after="140" w:before="280"/>
      </w:pPr>
      <w:bookmarkStart w:name="_Toc17" w:id="17"/>
      <w:r>
        <w:t xml:space="preserve">A.5.3  Le transsonique : un maximum, pas un plateau</w:t>
      </w:r>
      <w:bookmarkEnd w:id="17"/>
    </w:p>
    <w:p>
      <w:pPr>
        <w:spacing w:after="140" w:line="276"/>
        <w:jc w:val="both"/>
      </w:pPr>
      <w:r>
        <w:rPr>
          <w:rFonts w:ascii="Calibri" w:cs="Calibri" w:eastAsia="Calibri" w:hAnsi="Calibri"/>
          <w:sz w:val="21"/>
          <w:szCs w:val="21"/>
        </w:rPr>
        <w:t xml:space="preserve">C’est la différence la plus importante avec la marche montante. La traînée de la marche descendante ne plafonne pas : elle passe par un maximum vers M ≈ 1,15, au-dessus de sa propre valeur à M = 1,4, puis redescend. Le facteur de mélange PC₂ dépasse donc 1 — ce n’est pas une extrapolation, c’est la mesure (Figure 4.29 du rapport).</w:t>
      </w:r>
    </w:p>
    <w:p>
      <w:pPr>
        <w:spacing w:after="160" w:before="160"/>
        <w:jc w:val="center"/>
      </w:pPr>
      <w:r>
        <w:rPr>
          <w:rFonts w:ascii="Cambria" w:cs="Cambria" w:eastAsia="Cambria" w:hAnsi="Cambria"/>
          <w:sz w:val="22"/>
          <w:szCs w:val="22"/>
        </w:rPr>
        <w:t xml:space="preserve">(CDe/Cfe)_M = (CDe/Cfe)_{M=0,8} + PC₂ · [ (CDe/Cfe)_{M=1,4} − (CDe/Cfe)_{M=0,8} ]</w:t>
      </w:r>
      <w:r>
        <w:rPr>
          <w:rFonts w:ascii="Calibri" w:cs="Calibri" w:eastAsia="Calibri" w:hAnsi="Calibri"/>
          <w:color w:val="595959"/>
          <w:sz w:val="18"/>
          <w:szCs w:val="18"/>
        </w:rPr>
        <w:t xml:space="preserve">          éq. 4(32)</w:t>
      </w:r>
    </w:p>
    <w:p>
      <w:pPr>
        <w:keepNext/>
        <w:spacing w:after="60" w:before="220"/>
        <w:jc w:val="center"/>
      </w:pPr>
      <w:r>
        <w:drawing>
          <wp:inline distT="0" distB="0" distL="0" distR="0">
            <wp:extent cx="4000500" cy="48291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4829175"/>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A.13 — Figure 4.30 du rapport : le facteur PC₂.</w:t>
      </w:r>
    </w:p>
    <w:p>
      <w:pPr>
        <w:keepNext/>
        <w:spacing w:after="60" w:before="220"/>
        <w:jc w:val="center"/>
      </w:pPr>
      <w:r>
        <w:drawing>
          <wp:inline distT="0" distB="0" distL="0" distR="0">
            <wp:extent cx="4953000" cy="30289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02895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A.14 — Extraction de PC₂. Le maximum relevé vaut 1,275 à M = 1,15.</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941"/>
        <w:gridCol w:w="847"/>
        <w:gridCol w:w="847"/>
        <w:gridCol w:w="847"/>
        <w:gridCol w:w="847"/>
        <w:gridCol w:w="847"/>
        <w:gridCol w:w="847"/>
        <w:gridCol w:w="847"/>
        <w:gridCol w:w="847"/>
        <w:gridCol w:w="847"/>
        <w:gridCol w:w="848"/>
      </w:tblGrid>
      <w:tr>
        <w:trPr>
          <w:cantSplit/>
          <w:tblHeader/>
        </w:trPr>
        <w:tc>
          <w:tcPr>
            <w:tcW w:type="dxa" w:w="941"/>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M</w:t>
            </w:r>
          </w:p>
        </w:tc>
        <w:tc>
          <w:tcPr>
            <w:tcW w:type="dxa" w:w="847"/>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0,80</w:t>
            </w:r>
          </w:p>
        </w:tc>
        <w:tc>
          <w:tcPr>
            <w:tcW w:type="dxa" w:w="847"/>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0,90</w:t>
            </w:r>
          </w:p>
        </w:tc>
        <w:tc>
          <w:tcPr>
            <w:tcW w:type="dxa" w:w="847"/>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0,95</w:t>
            </w:r>
          </w:p>
        </w:tc>
        <w:tc>
          <w:tcPr>
            <w:tcW w:type="dxa" w:w="847"/>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1,00</w:t>
            </w:r>
          </w:p>
        </w:tc>
        <w:tc>
          <w:tcPr>
            <w:tcW w:type="dxa" w:w="847"/>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1,05</w:t>
            </w:r>
          </w:p>
        </w:tc>
        <w:tc>
          <w:tcPr>
            <w:tcW w:type="dxa" w:w="847"/>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1,10</w:t>
            </w:r>
          </w:p>
        </w:tc>
        <w:tc>
          <w:tcPr>
            <w:tcW w:type="dxa" w:w="847"/>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1,15</w:t>
            </w:r>
          </w:p>
        </w:tc>
        <w:tc>
          <w:tcPr>
            <w:tcW w:type="dxa" w:w="847"/>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1,20</w:t>
            </w:r>
          </w:p>
        </w:tc>
        <w:tc>
          <w:tcPr>
            <w:tcW w:type="dxa" w:w="847"/>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1,30</w:t>
            </w:r>
          </w:p>
        </w:tc>
        <w:tc>
          <w:tcPr>
            <w:tcW w:type="dxa" w:w="848"/>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1,40</w:t>
            </w:r>
          </w:p>
        </w:tc>
      </w:tr>
      <w:tr>
        <w:trPr>
          <w:cantSplit/>
        </w:trPr>
        <w:tc>
          <w:tcPr>
            <w:tcW w:type="dxa" w:w="9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PC₂</w:t>
            </w:r>
          </w:p>
        </w:tc>
        <w:tc>
          <w:tcPr>
            <w:tcW w:type="dxa" w:w="8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0,000</w:t>
            </w:r>
          </w:p>
        </w:tc>
        <w:tc>
          <w:tcPr>
            <w:tcW w:type="dxa" w:w="8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0,065</w:t>
            </w:r>
          </w:p>
        </w:tc>
        <w:tc>
          <w:tcPr>
            <w:tcW w:type="dxa" w:w="8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0,110</w:t>
            </w:r>
          </w:p>
        </w:tc>
        <w:tc>
          <w:tcPr>
            <w:tcW w:type="dxa" w:w="8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0,400</w:t>
            </w:r>
          </w:p>
        </w:tc>
        <w:tc>
          <w:tcPr>
            <w:tcW w:type="dxa" w:w="8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1,030</w:t>
            </w:r>
          </w:p>
        </w:tc>
        <w:tc>
          <w:tcPr>
            <w:tcW w:type="dxa" w:w="8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1,210</w:t>
            </w:r>
          </w:p>
        </w:tc>
        <w:tc>
          <w:tcPr>
            <w:tcW w:type="dxa" w:w="8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1,275</w:t>
            </w:r>
          </w:p>
        </w:tc>
        <w:tc>
          <w:tcPr>
            <w:tcW w:type="dxa" w:w="8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1,260</w:t>
            </w:r>
          </w:p>
        </w:tc>
        <w:tc>
          <w:tcPr>
            <w:tcW w:type="dxa" w:w="8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1,140</w:t>
            </w:r>
          </w:p>
        </w:tc>
        <w:tc>
          <w:tcPr>
            <w:tcW w:type="dxa" w:w="848"/>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1,000</w:t>
            </w:r>
          </w:p>
        </w:tc>
      </w:tr>
    </w:tbl>
    <w:p>
      <w:pPr>
        <w:spacing w:after="160"/>
      </w:pPr>
    </w:p>
    <w:p>
      <w:pPr>
        <w:pStyle w:val="Heading2"/>
        <w:spacing w:after="140" w:before="280"/>
      </w:pPr>
      <w:bookmarkStart w:name="_Toc18" w:id="18"/>
      <w:r>
        <w:t xml:space="preserve">A.5.4  Arête adoucie : deux contre-intuitions</w:t>
      </w:r>
      <w:bookmarkEnd w:id="18"/>
    </w:p>
    <w:p>
      <w:pPr>
        <w:spacing w:after="140" w:line="276"/>
        <w:jc w:val="both"/>
      </w:pPr>
      <w:r>
        <w:rPr>
          <w:rFonts w:ascii="Calibri" w:cs="Calibri" w:eastAsia="Calibri" w:hAnsi="Calibri"/>
          <w:sz w:val="21"/>
          <w:szCs w:val="21"/>
        </w:rPr>
        <w:t xml:space="preserve">Les deux traitements qui aident sur une marche montante ne se comportent pas du tout de la même façon sur une marche descendante. Il faut le savoir avant de prescrire quoi que ce soit.</w:t>
      </w:r>
    </w:p>
    <w:p>
      <w:pPr>
        <w:spacing w:after="140" w:line="276"/>
        <w:jc w:val="both"/>
      </w:pPr>
      <w:r>
        <w:rPr>
          <w:rFonts w:ascii="Calibri" w:cs="Calibri" w:eastAsia="Calibri" w:hAnsi="Calibri"/>
          <w:b w:val="false"/>
          <w:bCs w:val="false"/>
          <w:color w:val="1F4E79"/>
          <w:sz w:val="21"/>
          <w:szCs w:val="21"/>
        </w:rPr>
        <w:t xml:space="preserve">Premièrement, arrondir l’arête aval augmente la traînée.</w:t>
      </w:r>
      <w:r>
        <w:rPr>
          <w:rFonts w:ascii="Calibri" w:cs="Calibri" w:eastAsia="Calibri" w:hAnsi="Calibri"/>
          <w:sz w:val="21"/>
          <w:szCs w:val="21"/>
        </w:rPr>
        <w:t xml:space="preserve"> Le rapport le constate sans l’expliquer (Figure 4.32) et en tire une relation unique, indépendante du Mach :</w:t>
      </w:r>
    </w:p>
    <w:p>
      <w:pPr>
        <w:spacing w:after="160" w:before="160"/>
        <w:jc w:val="center"/>
      </w:pPr>
      <w:r>
        <w:rPr>
          <w:rFonts w:ascii="Cambria" w:cs="Cambria" w:eastAsia="Cambria" w:hAnsi="Cambria"/>
          <w:sz w:val="22"/>
          <w:szCs w:val="22"/>
        </w:rPr>
        <w:t xml:space="preserve">(CDe/Cfe)_r = [ 1 + 1,43 · (r/h) ] × (CDe/Cfe)_{r=0}</w:t>
      </w:r>
      <w:r>
        <w:rPr>
          <w:rFonts w:ascii="Calibri" w:cs="Calibri" w:eastAsia="Calibri" w:hAnsi="Calibri"/>
          <w:color w:val="595959"/>
          <w:sz w:val="18"/>
          <w:szCs w:val="18"/>
        </w:rPr>
        <w:t xml:space="preserve">          éq. 4(34)</w:t>
      </w:r>
    </w:p>
    <w:p>
      <w:pPr>
        <w:spacing w:after="140" w:line="276"/>
        <w:jc w:val="both"/>
      </w:pPr>
      <w:r>
        <w:rPr>
          <w:rFonts w:ascii="Calibri" w:cs="Calibri" w:eastAsia="Calibri" w:hAnsi="Calibri"/>
          <w:sz w:val="21"/>
          <w:szCs w:val="21"/>
        </w:rPr>
        <w:t xml:space="preserve">Soit + 47 % pour r/h = 0,33 et + 72 % pour r/h = 0,5. Un bord cassé par l’usure, côté aval, coûte donc de la traînée au lieu d’en faire gagner.</w:t>
      </w:r>
    </w:p>
    <w:p>
      <w:pPr>
        <w:spacing w:after="140" w:line="276"/>
        <w:jc w:val="both"/>
      </w:pPr>
      <w:r>
        <w:rPr>
          <w:rFonts w:ascii="Calibri" w:cs="Calibri" w:eastAsia="Calibri" w:hAnsi="Calibri"/>
          <w:color w:val="1F4E79"/>
          <w:sz w:val="21"/>
          <w:szCs w:val="21"/>
        </w:rPr>
        <w:t xml:space="preserve">Deuxièmement, chanfreiner ne sert à rien jusqu’à 45°</w:t>
      </w:r>
      <w:r>
        <w:rPr>
          <w:rFonts w:ascii="Calibri" w:cs="Calibri" w:eastAsia="Calibri" w:hAnsi="Calibri"/>
          <w:sz w:val="21"/>
          <w:szCs w:val="21"/>
        </w:rPr>
        <w:t xml:space="preserve">, et entre 12° et 45° cela aggrave légèrement les choses au transsonique et au supersonique. La chute n’arrive qu’en dessous de 12°, comme l’écrit le § 4.3.1.2.2.</w:t>
      </w:r>
    </w:p>
    <w:p>
      <w:pPr>
        <w:spacing w:after="160" w:before="160"/>
        <w:jc w:val="center"/>
      </w:pPr>
      <w:r>
        <w:rPr>
          <w:rFonts w:ascii="Cambria" w:cs="Cambria" w:eastAsia="Cambria" w:hAnsi="Cambria"/>
          <w:sz w:val="22"/>
          <w:szCs w:val="22"/>
        </w:rPr>
        <w:t xml:space="preserve">(CDe/Cfe)_θ = (CDe/Cfe)_{θ=90°} × [ 1 − G(θ, M) ]</w:t>
      </w:r>
      <w:r>
        <w:rPr>
          <w:rFonts w:ascii="Calibri" w:cs="Calibri" w:eastAsia="Calibri" w:hAnsi="Calibri"/>
          <w:color w:val="595959"/>
          <w:sz w:val="18"/>
          <w:szCs w:val="18"/>
        </w:rPr>
        <w:t xml:space="preserve">          éq. 4(33)</w:t>
      </w:r>
    </w:p>
    <w:p>
      <w:pPr>
        <w:keepNext/>
        <w:spacing w:after="60" w:before="220"/>
        <w:jc w:val="center"/>
      </w:pPr>
      <w:r>
        <w:drawing>
          <wp:inline distT="0" distB="0" distL="0" distR="0">
            <wp:extent cx="4381500" cy="43910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4391025"/>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A.15 — Figure 4.33 du rapport : le facteur G en fonction de l’angle de chanfrein. Sept courbes dans un cadre de quatre centimètres, qui se croisent toutes au voisinage de G = 0.</w:t>
      </w:r>
    </w:p>
    <w:p>
      <w:pPr>
        <w:keepNext/>
        <w:spacing w:after="60" w:before="220"/>
        <w:jc w:val="center"/>
      </w:pPr>
      <w:r>
        <w:drawing>
          <wp:inline distT="0" distB="0" distL="0" distR="0">
            <wp:extent cx="4953000" cy="302895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02895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A.16 — Extraction de G. Les valeurs négatives entre 12° et 45° pour M ≥ 1,2 traduisent une augmentation de traînée.</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2824"/>
        <w:gridCol w:w="3294"/>
        <w:gridCol w:w="3294"/>
      </w:tblGrid>
      <w:tr>
        <w:trPr>
          <w:cantSplit/>
          <w:tblHeader/>
        </w:trPr>
        <w:tc>
          <w:tcPr>
            <w:tcW w:type="dxa" w:w="2824"/>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Angle θ</w:t>
            </w:r>
          </w:p>
        </w:tc>
        <w:tc>
          <w:tcPr>
            <w:tcW w:type="dxa" w:w="3294"/>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M = 0,8</w:t>
            </w:r>
          </w:p>
        </w:tc>
        <w:tc>
          <w:tcPr>
            <w:tcW w:type="dxa" w:w="3294"/>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M = 1,4</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45° et au-delà</w:t>
            </w:r>
          </w:p>
        </w:tc>
        <w:tc>
          <w:tcPr>
            <w:tcW w:type="dxa" w:w="32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1,00  (sans effet)</w:t>
            </w:r>
          </w:p>
        </w:tc>
        <w:tc>
          <w:tcPr>
            <w:tcW w:type="dxa" w:w="32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1,00  (sans effet)</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30°</w:t>
            </w:r>
          </w:p>
        </w:tc>
        <w:tc>
          <w:tcPr>
            <w:tcW w:type="dxa" w:w="32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0,59</w:t>
            </w:r>
          </w:p>
        </w:tc>
        <w:tc>
          <w:tcPr>
            <w:tcW w:type="dxa" w:w="32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1,14  (+ 14 %)</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20°</w:t>
            </w:r>
          </w:p>
        </w:tc>
        <w:tc>
          <w:tcPr>
            <w:tcW w:type="dxa" w:w="32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0,31</w:t>
            </w:r>
          </w:p>
        </w:tc>
        <w:tc>
          <w:tcPr>
            <w:tcW w:type="dxa" w:w="32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1,17  (+ 17 %)</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12°</w:t>
            </w:r>
          </w:p>
        </w:tc>
        <w:tc>
          <w:tcPr>
            <w:tcW w:type="dxa" w:w="32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0,17</w:t>
            </w:r>
          </w:p>
        </w:tc>
        <w:tc>
          <w:tcPr>
            <w:tcW w:type="dxa" w:w="32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0,99</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5°</w:t>
            </w:r>
          </w:p>
        </w:tc>
        <w:tc>
          <w:tcPr>
            <w:tcW w:type="dxa" w:w="32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0,08</w:t>
            </w:r>
          </w:p>
        </w:tc>
        <w:tc>
          <w:tcPr>
            <w:tcW w:type="dxa" w:w="32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facteur 0,48</w:t>
            </w:r>
          </w:p>
        </w:tc>
      </w:tr>
    </w:tbl>
    <w:p>
      <w:pPr>
        <w:spacing w:after="160"/>
      </w:pPr>
    </w:p>
    <w:tbl>
      <w:tblPr>
        <w:tblW w:type="dxa" w:w="9412"/>
        <w:tblBorders>
          <w:top w:val="single" w:color="1F4E79" w:sz="6"/>
          <w:left w:val="single" w:color="1F4E79" w:sz="6"/>
          <w:bottom w:val="single" w:color="1F4E79" w:sz="6"/>
          <w:right w:val="single" w:color="1F4E79" w:sz="6"/>
          <w:insideH w:val="single" w:color="auto" w:sz="4"/>
          <w:insideV w:val="single" w:color="auto" w:sz="4"/>
        </w:tblBorders>
      </w:tblPr>
      <w:tblGrid>
        <w:gridCol w:w="9412"/>
      </w:tblGrid>
      <w:tr>
        <w:tc>
          <w:tcPr>
            <w:tcW w:type="dxa" w:w="9412"/>
            <w:shd w:fill="F2F7FC" w:color="auto" w:val="clear"/>
            <w:tcMar>
              <w:top w:type="dxa" w:w="140"/>
              <w:left w:type="dxa" w:w="180"/>
              <w:bottom w:type="dxa" w:w="140"/>
              <w:right w:type="dxa" w:w="180"/>
            </w:tcMar>
          </w:tcPr>
          <w:p>
            <w:pPr>
              <w:spacing w:after="80"/>
            </w:pPr>
            <w:r>
              <w:rPr>
                <w:rFonts w:ascii="Calibri" w:cs="Calibri" w:eastAsia="Calibri" w:hAnsi="Calibri"/>
                <w:caps/>
                <w:color w:val="1F4E79"/>
                <w:sz w:val="20"/>
                <w:szCs w:val="20"/>
              </w:rPr>
              <w:t xml:space="preserve">Réserve sur cette correction</w:t>
            </w:r>
          </w:p>
          <w:p>
            <w:pPr>
              <w:spacing w:after="60" w:line="264"/>
              <w:jc w:val="both"/>
            </w:pPr>
            <w:r>
              <w:rPr>
                <w:rFonts w:ascii="Calibri" w:cs="Calibri" w:eastAsia="Calibri" w:hAnsi="Calibri"/>
                <w:sz w:val="20"/>
                <w:szCs w:val="20"/>
              </w:rPr>
              <w:t xml:space="preserve">La Figure 4.33 est la planche la moins lisible du rapport : sept courbes serrées, leurs repères et leurs lignes de rappel dans un très petit cadre. L’incertitude de numérisation y est de ± 0,05, contre ± 0,02 à ± 0,04 ailleurs. Le texte du § 4.3.1.2.2 est ici plus net que le tracé et l’extraction le respecte. Si une conclusion dépend de cette correction à mieux que ± 10 %, il faut revenir à la planche originale.</w:t>
            </w:r>
          </w:p>
        </w:tc>
      </w:tr>
    </w:tbl>
    <w:p>
      <w:r>
        <w:br w:type="page"/>
      </w:r>
    </w:p>
    <w:p>
      <w:pPr>
        <w:pStyle w:val="Heading1"/>
        <w:spacing w:after="140" w:before="360"/>
      </w:pPr>
      <w:bookmarkStart w:name="_Toc19" w:id="19"/>
      <w:r>
        <w:t xml:space="preserve">A.6  Arête</w:t>
      </w:r>
      <w:bookmarkEnd w:id="19"/>
    </w:p>
    <w:p>
      <w:pPr>
        <w:spacing w:after="140" w:line="276"/>
        <w:jc w:val="both"/>
      </w:pPr>
      <w:r>
        <w:rPr>
          <w:rFonts w:ascii="Calibri" w:cs="Calibri" w:eastAsia="Calibri" w:hAnsi="Calibri"/>
          <w:sz w:val="21"/>
          <w:szCs w:val="21"/>
        </w:rPr>
        <w:t xml:space="preserve">Une marche montante suivie de près d’une marche descendante : couvre-joint, cordon de mastic, bande de protection, plaque rapportée. Le paramètre supplémentaire est l’épaisseur t, mesurée dans le sens de l’écoulement.</w:t>
      </w:r>
    </w:p>
    <w:p>
      <w:pPr>
        <w:pStyle w:val="Heading2"/>
        <w:spacing w:after="140" w:before="280"/>
      </w:pPr>
      <w:bookmarkStart w:name="_Toc20" w:id="20"/>
      <w:r>
        <w:t xml:space="preserve">A.6.1  La planche d’origine</w:t>
      </w:r>
      <w:bookmarkEnd w:id="20"/>
    </w:p>
    <w:p>
      <w:pPr>
        <w:keepNext/>
        <w:spacing w:after="60" w:before="220"/>
        <w:jc w:val="center"/>
      </w:pPr>
      <w:r>
        <w:drawing>
          <wp:inline distT="0" distB="0" distL="0" distR="0">
            <wp:extent cx="5715000" cy="361950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61950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A.17 — Figure 4.34 du rapport : traînée des arêtes à faces verticales. La planche porte à la fois les arêtes carrées (t = h) et les arêtes rectangulaires d’épaisseur t = 2h, d’où le nombre de traits.</w:t>
      </w:r>
    </w:p>
    <w:p>
      <w:pPr>
        <w:spacing w:after="140" w:line="276"/>
        <w:jc w:val="both"/>
      </w:pPr>
      <w:r>
        <w:rPr>
          <w:rFonts w:ascii="Calibri" w:cs="Calibri" w:eastAsia="Calibri" w:hAnsi="Calibri"/>
          <w:sz w:val="21"/>
          <w:szCs w:val="21"/>
        </w:rPr>
        <w:t xml:space="preserve">Cas particulier agréable : pour les arêtes, les coefficients A et B ne sont pas à relever sur la figure, ils sont </w:t>
      </w:r>
      <w:r>
        <w:rPr>
          <w:rFonts w:ascii="Calibri" w:cs="Calibri" w:eastAsia="Calibri" w:hAnsi="Calibri"/>
          <w:b w:val="false"/>
          <w:bCs w:val="false"/>
          <w:color w:val="1F4E79"/>
          <w:sz w:val="21"/>
          <w:szCs w:val="21"/>
        </w:rPr>
        <w:t xml:space="preserve">imprimés</w:t>
      </w:r>
      <w:r>
        <w:rPr>
          <w:rFonts w:ascii="Calibri" w:cs="Calibri" w:eastAsia="Calibri" w:hAnsi="Calibri"/>
          <w:sz w:val="21"/>
          <w:szCs w:val="21"/>
        </w:rPr>
        <w:t xml:space="preserve"> dans le corps du rapport, page 91, sous l’équation 4(37). La table ci-dessous est donc une transcription exacte, pas une lecture.</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2071"/>
        <w:gridCol w:w="1506"/>
        <w:gridCol w:w="1506"/>
        <w:gridCol w:w="2259"/>
        <w:gridCol w:w="2070"/>
      </w:tblGrid>
      <w:tr>
        <w:trPr>
          <w:cantSplit/>
          <w:tblHeader/>
        </w:trPr>
        <w:tc>
          <w:tcPr>
            <w:tcW w:type="dxa" w:w="2071"/>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Mach local</w:t>
            </w:r>
          </w:p>
        </w:tc>
        <w:tc>
          <w:tcPr>
            <w:tcW w:type="dxa" w:w="1506"/>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A</w:t>
            </w:r>
          </w:p>
        </w:tc>
        <w:tc>
          <w:tcPr>
            <w:tcW w:type="dxa" w:w="1506"/>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B</w:t>
            </w:r>
          </w:p>
        </w:tc>
        <w:tc>
          <w:tcPr>
            <w:tcW w:type="dxa" w:w="2259"/>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CDe/Cfe à h⁺ = 100</w:t>
            </w:r>
          </w:p>
        </w:tc>
        <w:tc>
          <w:tcPr>
            <w:tcW w:type="dxa" w:w="20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à h⁺ = 1 000</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0,2</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150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−190</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110,0</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260,0</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0,8</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150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−160</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140,0</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290,0</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1,4</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160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−125</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195,0</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355,0</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2,2</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110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−42</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178,0</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288,0</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2,8</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−44</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156,0</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256,0</w:t>
            </w:r>
          </w:p>
        </w:tc>
      </w:tr>
    </w:tbl>
    <w:p>
      <w:pPr>
        <w:spacing w:after="160"/>
      </w:pPr>
    </w:p>
    <w:p>
      <w:pPr>
        <w:pStyle w:val="Heading2"/>
        <w:spacing w:after="140" w:before="280"/>
      </w:pPr>
      <w:bookmarkStart w:name="_Toc21" w:id="21"/>
      <w:r>
        <w:t xml:space="preserve">A.6.2  Ce qui en a été extrait</w:t>
      </w:r>
      <w:bookmarkEnd w:id="21"/>
    </w:p>
    <w:p>
      <w:pPr>
        <w:spacing w:after="140" w:line="276"/>
        <w:jc w:val="both"/>
      </w:pPr>
      <w:r>
        <w:rPr>
          <w:rFonts w:ascii="Calibri" w:cs="Calibri" w:eastAsia="Calibri" w:hAnsi="Calibri"/>
          <w:sz w:val="21"/>
          <w:szCs w:val="21"/>
        </w:rPr>
        <w:t xml:space="preserve">La superposition ne sert donc pas ici à valider une lecture, mais à contrôler la transcription — et au passage l’étalonnage en pixels utilisé pour les deux planches précédentes.</w:t>
      </w:r>
    </w:p>
    <w:p>
      <w:pPr>
        <w:keepNext/>
        <w:spacing w:after="60" w:before="220"/>
        <w:jc w:val="center"/>
      </w:pPr>
      <w:r>
        <w:drawing>
          <wp:inline distT="0" distB="0" distL="0" distR="0">
            <wp:extent cx="5715000" cy="35528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52825"/>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A.18 — Vérification sur la planche d’origine. Les traits noirs sans tireté coloré correspondant sont les arêtes rectangulaires t = 2h, qui figurent aussi sur la planche.</w:t>
      </w:r>
    </w:p>
    <w:p>
      <w:pPr>
        <w:keepNext/>
        <w:spacing w:after="60" w:before="220"/>
        <w:jc w:val="center"/>
      </w:pPr>
      <w:r>
        <w:drawing>
          <wp:inline distT="0" distB="0" distL="0" distR="0">
            <wp:extent cx="5334000" cy="340995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40995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A.19 — L’extraction seule, avec en tiretés gris la droite t = 2h à M = 0,2 issue de sa table dédiée.</w:t>
      </w:r>
    </w:p>
    <w:p>
      <w:pPr>
        <w:pStyle w:val="Heading2"/>
        <w:spacing w:after="140" w:before="280"/>
      </w:pPr>
      <w:bookmarkStart w:name="_Toc22" w:id="22"/>
      <w:r>
        <w:t xml:space="preserve">A.6.3  Transsonique et épaisseur</w:t>
      </w:r>
      <w:bookmarkEnd w:id="22"/>
    </w:p>
    <w:p>
      <w:pPr>
        <w:spacing w:after="140" w:line="276"/>
        <w:jc w:val="both"/>
      </w:pPr>
      <w:r>
        <w:rPr>
          <w:rFonts w:ascii="Calibri" w:cs="Calibri" w:eastAsia="Calibri" w:hAnsi="Calibri"/>
          <w:sz w:val="21"/>
          <w:szCs w:val="21"/>
        </w:rPr>
        <w:t xml:space="preserve">Le mélange transsonique suit la même forme que pour les marches, avec son propre facteur PC₃ :</w:t>
      </w:r>
    </w:p>
    <w:p>
      <w:pPr>
        <w:spacing w:after="160" w:before="160"/>
        <w:jc w:val="center"/>
      </w:pPr>
      <w:r>
        <w:rPr>
          <w:rFonts w:ascii="Cambria" w:cs="Cambria" w:eastAsia="Cambria" w:hAnsi="Cambria"/>
          <w:sz w:val="22"/>
          <w:szCs w:val="22"/>
        </w:rPr>
        <w:t xml:space="preserve">(CDe/Cfe)_M = (CDe/Cfe)_{M=0,8} + PC₃ · [ (CDe/Cfe)_{M=1,4} − (CDe/Cfe)_{M=0,8} ]</w:t>
      </w:r>
      <w:r>
        <w:rPr>
          <w:rFonts w:ascii="Calibri" w:cs="Calibri" w:eastAsia="Calibri" w:hAnsi="Calibri"/>
          <w:color w:val="595959"/>
          <w:sz w:val="18"/>
          <w:szCs w:val="18"/>
        </w:rPr>
        <w:t xml:space="preserve">          éq. 4(38)</w:t>
      </w:r>
    </w:p>
    <w:p>
      <w:pPr>
        <w:spacing w:after="140" w:line="276"/>
        <w:jc w:val="both"/>
      </w:pPr>
      <w:r>
        <w:rPr>
          <w:rFonts w:ascii="Calibri" w:cs="Calibri" w:eastAsia="Calibri" w:hAnsi="Calibri"/>
          <w:sz w:val="21"/>
          <w:szCs w:val="21"/>
        </w:rPr>
        <w:t xml:space="preserve">PC₃ est de loin le plus marqué des trois : il culmine à 1,58 vers M = 1,03. Autrement dit, la traînée d’une arête passe par un pic transsonique environ 50 % au-dessus de son niveau subsonique avant de redescendre.</w:t>
      </w:r>
    </w:p>
    <w:p>
      <w:pPr>
        <w:keepNext/>
        <w:spacing w:after="60" w:before="220"/>
        <w:jc w:val="center"/>
      </w:pPr>
      <w:r>
        <w:drawing>
          <wp:inline distT="0" distB="0" distL="0" distR="0">
            <wp:extent cx="4381500" cy="333375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333375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A.20 — Figure 4.38 du rapport : le facteur PC₃.</w:t>
      </w:r>
    </w:p>
    <w:p>
      <w:pPr>
        <w:keepNext/>
        <w:spacing w:after="60" w:before="220"/>
        <w:jc w:val="center"/>
      </w:pPr>
      <w:r>
        <w:drawing>
          <wp:inline distT="0" distB="0" distL="0" distR="0">
            <wp:extent cx="4953000" cy="302895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302895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A.21 — Extraction de PC₃, relevée en continu le long du tracé.</w:t>
      </w:r>
    </w:p>
    <w:p>
      <w:pPr>
        <w:spacing w:after="140" w:line="276"/>
        <w:jc w:val="both"/>
      </w:pPr>
      <w:r>
        <w:rPr>
          <w:rFonts w:ascii="Calibri" w:cs="Calibri" w:eastAsia="Calibri" w:hAnsi="Calibri"/>
          <w:sz w:val="21"/>
          <w:szCs w:val="21"/>
        </w:rPr>
        <w:t xml:space="preserve">L’effet de l’épaisseur se traite par un facteur multiplicatif T(t/h), normalisé sur l’arête carrée :</w:t>
      </w:r>
    </w:p>
    <w:p>
      <w:pPr>
        <w:spacing w:after="160" w:before="160"/>
        <w:jc w:val="center"/>
      </w:pPr>
      <w:r>
        <w:rPr>
          <w:rFonts w:ascii="Cambria" w:cs="Cambria" w:eastAsia="Cambria" w:hAnsi="Cambria"/>
          <w:sz w:val="22"/>
          <w:szCs w:val="22"/>
        </w:rPr>
        <w:t xml:space="preserve">(CDe/Cfe)_{t/h} = T(t/h) × (CDe/Cfe)_{t/h = 1}</w:t>
      </w:r>
      <w:r>
        <w:rPr>
          <w:rFonts w:ascii="Calibri" w:cs="Calibri" w:eastAsia="Calibri" w:hAnsi="Calibri"/>
          <w:color w:val="595959"/>
          <w:sz w:val="18"/>
          <w:szCs w:val="18"/>
        </w:rPr>
        <w:t xml:space="preserve">          éq. 4(39)</w:t>
      </w:r>
    </w:p>
    <w:p>
      <w:pPr>
        <w:keepNext/>
        <w:spacing w:after="60" w:before="220"/>
        <w:jc w:val="center"/>
      </w:pPr>
      <w:r>
        <w:drawing>
          <wp:inline distT="0" distB="0" distL="0" distR="0">
            <wp:extent cx="4381500" cy="282892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2828925"/>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A.22 — Figure 4.40 du rapport : le facteur d’épaisseur T.</w:t>
      </w:r>
    </w:p>
    <w:p>
      <w:pPr>
        <w:keepNext/>
        <w:spacing w:after="60" w:before="220"/>
        <w:jc w:val="center"/>
      </w:pPr>
      <w:r>
        <w:drawing>
          <wp:inline distT="0" distB="0" distL="0" distR="0">
            <wp:extent cx="4953000" cy="289560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289560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A.23 — Extraction de T(t/h).</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1129"/>
        <w:gridCol w:w="1035"/>
        <w:gridCol w:w="1035"/>
        <w:gridCol w:w="1035"/>
        <w:gridCol w:w="1035"/>
        <w:gridCol w:w="1035"/>
        <w:gridCol w:w="1035"/>
        <w:gridCol w:w="1035"/>
        <w:gridCol w:w="1038"/>
      </w:tblGrid>
      <w:tr>
        <w:trPr>
          <w:cantSplit/>
          <w:tblHeader/>
        </w:trPr>
        <w:tc>
          <w:tcPr>
            <w:tcW w:type="dxa" w:w="1129"/>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t/h</w:t>
            </w:r>
          </w:p>
        </w:tc>
        <w:tc>
          <w:tcPr>
            <w:tcW w:type="dxa" w:w="1035"/>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0</w:t>
            </w:r>
          </w:p>
        </w:tc>
        <w:tc>
          <w:tcPr>
            <w:tcW w:type="dxa" w:w="1035"/>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0,25</w:t>
            </w:r>
          </w:p>
        </w:tc>
        <w:tc>
          <w:tcPr>
            <w:tcW w:type="dxa" w:w="1035"/>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0,5</w:t>
            </w:r>
          </w:p>
        </w:tc>
        <w:tc>
          <w:tcPr>
            <w:tcW w:type="dxa" w:w="1035"/>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1</w:t>
            </w:r>
          </w:p>
        </w:tc>
        <w:tc>
          <w:tcPr>
            <w:tcW w:type="dxa" w:w="1035"/>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2</w:t>
            </w:r>
          </w:p>
        </w:tc>
        <w:tc>
          <w:tcPr>
            <w:tcW w:type="dxa" w:w="1035"/>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3</w:t>
            </w:r>
          </w:p>
        </w:tc>
        <w:tc>
          <w:tcPr>
            <w:tcW w:type="dxa" w:w="1035"/>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4</w:t>
            </w:r>
          </w:p>
        </w:tc>
        <w:tc>
          <w:tcPr>
            <w:tcW w:type="dxa" w:w="1038"/>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 5</w:t>
            </w:r>
          </w:p>
        </w:tc>
      </w:tr>
      <w:tr>
        <w:trPr>
          <w:cantSplit/>
        </w:trPr>
        <w:tc>
          <w:tcPr>
            <w:tcW w:type="dxa" w:w="1129"/>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T</w:t>
            </w:r>
          </w:p>
        </w:tc>
        <w:tc>
          <w:tcPr>
            <w:tcW w:type="dxa" w:w="1035"/>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1,07</w:t>
            </w:r>
          </w:p>
        </w:tc>
        <w:tc>
          <w:tcPr>
            <w:tcW w:type="dxa" w:w="1035"/>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1,07</w:t>
            </w:r>
          </w:p>
        </w:tc>
        <w:tc>
          <w:tcPr>
            <w:tcW w:type="dxa" w:w="1035"/>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1,06</w:t>
            </w:r>
          </w:p>
        </w:tc>
        <w:tc>
          <w:tcPr>
            <w:tcW w:type="dxa" w:w="1035"/>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1,00</w:t>
            </w:r>
          </w:p>
        </w:tc>
        <w:tc>
          <w:tcPr>
            <w:tcW w:type="dxa" w:w="1035"/>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0,79</w:t>
            </w:r>
          </w:p>
        </w:tc>
        <w:tc>
          <w:tcPr>
            <w:tcW w:type="dxa" w:w="1035"/>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0,63</w:t>
            </w:r>
          </w:p>
        </w:tc>
        <w:tc>
          <w:tcPr>
            <w:tcW w:type="dxa" w:w="1035"/>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0,58</w:t>
            </w:r>
          </w:p>
        </w:tc>
        <w:tc>
          <w:tcPr>
            <w:tcW w:type="dxa" w:w="1038"/>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0,58</w:t>
            </w:r>
          </w:p>
        </w:tc>
      </w:tr>
    </w:tbl>
    <w:p>
      <w:pPr>
        <w:spacing w:after="160"/>
      </w:pPr>
    </w:p>
    <w:p>
      <w:pPr>
        <w:spacing w:after="140" w:line="276"/>
        <w:jc w:val="both"/>
      </w:pPr>
      <w:r>
        <w:rPr>
          <w:rFonts w:ascii="Calibri" w:cs="Calibri" w:eastAsia="Calibri" w:hAnsi="Calibri"/>
          <w:sz w:val="21"/>
          <w:szCs w:val="21"/>
        </w:rPr>
        <w:t xml:space="preserve">La courbe mérite un commentaire. Elle est légèrement supérieure à 1 pour les arêtes minces : une bande fine traîne un peu plus qu’une arête carrée de même hauteur. Puis elle s’effondre vers un plateau à 0,58 au-delà de t/h ≈ 4 : à cette distance, l’écoulement a le temps de recoller entre les deux faces, et l’aspérité cesse de se comporter comme un objet unique.</w:t>
      </w:r>
    </w:p>
    <w:tbl>
      <w:tblPr>
        <w:tblW w:type="dxa" w:w="9412"/>
        <w:tblBorders>
          <w:top w:val="single" w:color="1F4E79" w:sz="6"/>
          <w:left w:val="single" w:color="1F4E79" w:sz="6"/>
          <w:bottom w:val="single" w:color="1F4E79" w:sz="6"/>
          <w:right w:val="single" w:color="1F4E79" w:sz="6"/>
          <w:insideH w:val="single" w:color="auto" w:sz="4"/>
          <w:insideV w:val="single" w:color="auto" w:sz="4"/>
        </w:tblBorders>
      </w:tblPr>
      <w:tblGrid>
        <w:gridCol w:w="9412"/>
      </w:tblGrid>
      <w:tr>
        <w:tc>
          <w:tcPr>
            <w:tcW w:type="dxa" w:w="9412"/>
            <w:shd w:fill="F2F7FC" w:color="auto" w:val="clear"/>
            <w:tcMar>
              <w:top w:type="dxa" w:w="140"/>
              <w:left w:type="dxa" w:w="180"/>
              <w:bottom w:type="dxa" w:w="140"/>
              <w:right w:type="dxa" w:w="180"/>
            </w:tcMar>
          </w:tcPr>
          <w:p>
            <w:pPr>
              <w:spacing w:after="80"/>
            </w:pPr>
            <w:r>
              <w:rPr>
                <w:rFonts w:ascii="Calibri" w:cs="Calibri" w:eastAsia="Calibri" w:hAnsi="Calibri"/>
                <w:caps/>
                <w:color w:val="1F4E79"/>
                <w:sz w:val="20"/>
                <w:szCs w:val="20"/>
              </w:rPr>
              <w:t xml:space="preserve">Une contradiction du rapport, signalée telle quelle</w:t>
            </w:r>
          </w:p>
          <w:p>
            <w:pPr>
              <w:spacing w:after="60" w:line="264"/>
              <w:jc w:val="both"/>
            </w:pPr>
            <w:r>
              <w:rPr>
                <w:rFonts w:ascii="Calibri" w:cs="Calibri" w:eastAsia="Calibri" w:hAnsi="Calibri"/>
                <w:sz w:val="20"/>
                <w:szCs w:val="20"/>
              </w:rPr>
              <w:t xml:space="preserve">Pour une arête d’épaisseur exactement t = 2h, AGARD-AG-264 donne deux routes incompatibles : une table dédiée sous l’équation 4(37), et le produit générique T(2) × (arête carrée) de l’équation 4(39). La première croise la droite de l’arête carrée vers h⁺ ≈ 1 000, ce que décrit le § 4.3.2.1 ; la seconde reste 21 % en dessous à tout h⁺. L’écart atteint 80 % à h⁺ = 100.</w:t>
            </w:r>
          </w:p>
          <w:p>
            <w:pPr>
              <w:spacing w:after="60" w:line="264"/>
              <w:jc w:val="both"/>
            </w:pPr>
            <w:r>
              <w:rPr>
                <w:rFonts w:ascii="Calibri" w:cs="Calibri" w:eastAsia="Calibri" w:hAnsi="Calibri"/>
                <w:sz w:val="20"/>
                <w:szCs w:val="20"/>
              </w:rPr>
              <w:t xml:space="preserve">La raison est dans le rapport : la courbe T vient des essais Wieghardt, tous à h/δ supérieur à 3 %, alors que le croisement carrée/rectangulaire se situe entre h/δ = 0,02 et 0,03. Le script suit la route générique, seule définie pour toute épaisseur, et expose la table dédiée séparément.</w:t>
            </w:r>
          </w:p>
        </w:tc>
      </w:tr>
    </w:tbl>
    <w:p>
      <w:pPr>
        <w:pStyle w:val="Heading2"/>
        <w:spacing w:after="140" w:before="280"/>
      </w:pPr>
      <w:bookmarkStart w:name="_Toc23" w:id="23"/>
      <w:r>
        <w:t xml:space="preserve">A.6.4  Une arête n’est pas la somme de ses deux marches</w:t>
      </w:r>
      <w:bookmarkEnd w:id="23"/>
    </w:p>
    <w:p>
      <w:pPr>
        <w:spacing w:after="140" w:line="276"/>
        <w:jc w:val="both"/>
      </w:pPr>
      <w:r>
        <w:rPr>
          <w:rFonts w:ascii="Calibri" w:cs="Calibri" w:eastAsia="Calibri" w:hAnsi="Calibri"/>
          <w:sz w:val="21"/>
          <w:szCs w:val="21"/>
        </w:rPr>
        <w:t xml:space="preserve">C’est l’enseignement le plus utile du § 4.3.2.1, et celui qu’il faut retenir si l’on ne retient qu’une chose de cette annexe. Additionner une marche montante et une marche descendante de même hauteur donne, à bas Mach, environ la moitié de la traînée réellement mesurée sur une arête carrée.</w:t>
      </w:r>
    </w:p>
    <w:p>
      <w:pPr>
        <w:spacing w:after="140" w:line="276"/>
        <w:jc w:val="both"/>
      </w:pPr>
      <w:r>
        <w:rPr>
          <w:rFonts w:ascii="Calibri" w:cs="Calibri" w:eastAsia="Calibri" w:hAnsi="Calibri"/>
          <w:sz w:val="21"/>
          <w:szCs w:val="21"/>
        </w:rPr>
        <w:t xml:space="preserve">L’explication est physique : le bulbe de recirculation né sur la face amont n’a pas eu le temps de recoller quand il rencontre la face aval. L’interférence entre les deux faces pèse autant que les deux faces réunies. Cet écart se résorbe à mesure que le Mach monte, et il a disparu à M = 2,8 — ce que le rapport écrit noir sur blanc.</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1318"/>
        <w:gridCol w:w="1600"/>
        <w:gridCol w:w="1788"/>
        <w:gridCol w:w="1412"/>
        <w:gridCol w:w="1412"/>
        <w:gridCol w:w="1882"/>
      </w:tblGrid>
      <w:tr>
        <w:trPr>
          <w:cantSplit/>
          <w:tblHeader/>
        </w:trPr>
        <w:tc>
          <w:tcPr>
            <w:tcW w:type="dxa" w:w="1318"/>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Mach</w:t>
            </w:r>
          </w:p>
        </w:tc>
        <w:tc>
          <w:tcPr>
            <w:tcW w:type="dxa" w:w="160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montante</w:t>
            </w:r>
          </w:p>
        </w:tc>
        <w:tc>
          <w:tcPr>
            <w:tcW w:type="dxa" w:w="1788"/>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descendante</w:t>
            </w:r>
          </w:p>
        </w:tc>
        <w:tc>
          <w:tcPr>
            <w:tcW w:type="dxa" w:w="1412"/>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somme</w:t>
            </w:r>
          </w:p>
        </w:tc>
        <w:tc>
          <w:tcPr>
            <w:tcW w:type="dxa" w:w="1412"/>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arête</w:t>
            </w:r>
          </w:p>
        </w:tc>
        <w:tc>
          <w:tcPr>
            <w:tcW w:type="dxa" w:w="1882"/>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somme / arête</w:t>
            </w:r>
          </w:p>
        </w:tc>
      </w:tr>
      <w:tr>
        <w:trPr>
          <w:cantSplit/>
        </w:trPr>
        <w:tc>
          <w:tcPr>
            <w:tcW w:type="dxa" w:w="1318"/>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0,2</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101,0</w:t>
            </w:r>
          </w:p>
        </w:tc>
        <w:tc>
          <w:tcPr>
            <w:tcW w:type="dxa" w:w="1788"/>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40,5</w:t>
            </w:r>
          </w:p>
        </w:tc>
        <w:tc>
          <w:tcPr>
            <w:tcW w:type="dxa" w:w="141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141,5</w:t>
            </w:r>
          </w:p>
        </w:tc>
        <w:tc>
          <w:tcPr>
            <w:tcW w:type="dxa" w:w="141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260,0</w:t>
            </w:r>
          </w:p>
        </w:tc>
        <w:tc>
          <w:tcPr>
            <w:tcW w:type="dxa" w:w="188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0,544</w:t>
            </w:r>
          </w:p>
        </w:tc>
      </w:tr>
      <w:tr>
        <w:trPr>
          <w:cantSplit/>
        </w:trPr>
        <w:tc>
          <w:tcPr>
            <w:tcW w:type="dxa" w:w="1318"/>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0,8</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110,5</w:t>
            </w:r>
          </w:p>
        </w:tc>
        <w:tc>
          <w:tcPr>
            <w:tcW w:type="dxa" w:w="1788"/>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47,0</w:t>
            </w:r>
          </w:p>
        </w:tc>
        <w:tc>
          <w:tcPr>
            <w:tcW w:type="dxa" w:w="141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157,5</w:t>
            </w:r>
          </w:p>
        </w:tc>
        <w:tc>
          <w:tcPr>
            <w:tcW w:type="dxa" w:w="141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290,0</w:t>
            </w:r>
          </w:p>
        </w:tc>
        <w:tc>
          <w:tcPr>
            <w:tcW w:type="dxa" w:w="188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0,543</w:t>
            </w:r>
          </w:p>
        </w:tc>
      </w:tr>
      <w:tr>
        <w:trPr>
          <w:cantSplit/>
        </w:trPr>
        <w:tc>
          <w:tcPr>
            <w:tcW w:type="dxa" w:w="1318"/>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1,4</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170,9</w:t>
            </w:r>
          </w:p>
        </w:tc>
        <w:tc>
          <w:tcPr>
            <w:tcW w:type="dxa" w:w="1788"/>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125,8</w:t>
            </w:r>
          </w:p>
        </w:tc>
        <w:tc>
          <w:tcPr>
            <w:tcW w:type="dxa" w:w="141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296,7</w:t>
            </w:r>
          </w:p>
        </w:tc>
        <w:tc>
          <w:tcPr>
            <w:tcW w:type="dxa" w:w="141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355,0</w:t>
            </w:r>
          </w:p>
        </w:tc>
        <w:tc>
          <w:tcPr>
            <w:tcW w:type="dxa" w:w="188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0,836</w:t>
            </w:r>
          </w:p>
        </w:tc>
      </w:tr>
      <w:tr>
        <w:trPr>
          <w:cantSplit/>
        </w:trPr>
        <w:tc>
          <w:tcPr>
            <w:tcW w:type="dxa" w:w="1318"/>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2,2</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170,9</w:t>
            </w:r>
          </w:p>
        </w:tc>
        <w:tc>
          <w:tcPr>
            <w:tcW w:type="dxa" w:w="1788"/>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103,8</w:t>
            </w:r>
          </w:p>
        </w:tc>
        <w:tc>
          <w:tcPr>
            <w:tcW w:type="dxa" w:w="141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274,7</w:t>
            </w:r>
          </w:p>
        </w:tc>
        <w:tc>
          <w:tcPr>
            <w:tcW w:type="dxa" w:w="141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288,0</w:t>
            </w:r>
          </w:p>
        </w:tc>
        <w:tc>
          <w:tcPr>
            <w:tcW w:type="dxa" w:w="188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0,954</w:t>
            </w:r>
          </w:p>
        </w:tc>
      </w:tr>
      <w:tr>
        <w:trPr>
          <w:cantSplit/>
        </w:trPr>
        <w:tc>
          <w:tcPr>
            <w:tcW w:type="dxa" w:w="1318"/>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2,8</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170,9</w:t>
            </w:r>
          </w:p>
        </w:tc>
        <w:tc>
          <w:tcPr>
            <w:tcW w:type="dxa" w:w="1788"/>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92,2</w:t>
            </w:r>
          </w:p>
        </w:tc>
        <w:tc>
          <w:tcPr>
            <w:tcW w:type="dxa" w:w="141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263,1</w:t>
            </w:r>
          </w:p>
        </w:tc>
        <w:tc>
          <w:tcPr>
            <w:tcW w:type="dxa" w:w="141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256,0</w:t>
            </w:r>
          </w:p>
        </w:tc>
        <w:tc>
          <w:tcPr>
            <w:tcW w:type="dxa" w:w="1882"/>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1,028</w:t>
            </w:r>
          </w:p>
        </w:tc>
      </w:tr>
    </w:tbl>
    <w:p>
      <w:pPr>
        <w:spacing w:after="60"/>
      </w:pPr>
    </w:p>
    <w:p>
      <w:pPr>
        <w:spacing w:after="240"/>
        <w:jc w:val="center"/>
      </w:pPr>
      <w:r>
        <w:rPr>
          <w:rFonts w:ascii="Calibri" w:cs="Calibri" w:eastAsia="Calibri" w:hAnsi="Calibri"/>
          <w:i/>
          <w:iCs/>
          <w:color w:val="595959"/>
          <w:sz w:val="17"/>
          <w:szCs w:val="17"/>
        </w:rPr>
        <w:t xml:space="preserve">Valeurs de CDe/Cfe à h⁺ = 1 000.</w:t>
      </w:r>
    </w:p>
    <w:p>
      <w:pPr>
        <w:spacing w:after="140" w:line="276"/>
        <w:jc w:val="both"/>
      </w:pPr>
      <w:r>
        <w:rPr>
          <w:rFonts w:ascii="Calibri" w:cs="Calibri" w:eastAsia="Calibri" w:hAnsi="Calibri"/>
          <w:sz w:val="21"/>
          <w:szCs w:val="21"/>
        </w:rPr>
        <w:t xml:space="preserve">Ce tableau sert aussi de contrôle croisé de la numérisation : les droites des deux marches ont été relevées sur des planches scannées, tandis que les coefficients de l’arête sont imprimés. Le rapport fixe la relation entre les trois en annonçant « about 50 % below » à bas Mach et un écart « not present in the M = 2.8 data ». On retrouve 0,544 et 1,028 sans avoir rien ajusté : une erreur de lecture de plus de 5 % sur l’une ou l’autre droite casserait cet accord.</w:t>
      </w:r>
    </w:p>
    <w:p>
      <w:r>
        <w:br w:type="page"/>
      </w:r>
    </w:p>
    <w:p>
      <w:pPr>
        <w:pStyle w:val="Heading1"/>
        <w:spacing w:after="140" w:before="360"/>
      </w:pPr>
      <w:bookmarkStart w:name="_Toc24" w:id="24"/>
      <w:r>
        <w:t xml:space="preserve">A.7  Aspérité en biais</w:t>
      </w:r>
      <w:bookmarkEnd w:id="24"/>
    </w:p>
    <w:p>
      <w:pPr>
        <w:spacing w:after="140" w:line="276"/>
        <w:jc w:val="both"/>
      </w:pPr>
      <w:r>
        <w:rPr>
          <w:rFonts w:ascii="Calibri" w:cs="Calibri" w:eastAsia="Calibri" w:hAnsi="Calibri"/>
          <w:sz w:val="21"/>
          <w:szCs w:val="21"/>
        </w:rPr>
        <w:t xml:space="preserve">Une aspérité qui n’est pas perpendiculaire à l’écoulement ne voit que la composante normale de la vitesse. Comme le coefficient de traînée est normalisé sur le carré de la vitesse, la réduction va comme le carré du sinus de l’angle.</w:t>
      </w:r>
    </w:p>
    <w:p>
      <w:pPr>
        <w:spacing w:after="160" w:before="160"/>
        <w:jc w:val="center"/>
      </w:pPr>
      <w:r>
        <w:rPr>
          <w:rFonts w:ascii="Cambria" w:cs="Cambria" w:eastAsia="Cambria" w:hAnsi="Cambria"/>
          <w:sz w:val="22"/>
          <w:szCs w:val="22"/>
        </w:rPr>
        <w:t xml:space="preserve">(CDe)_α = (CDe)_{α = 90°} × sin²α</w:t>
      </w:r>
      <w:r>
        <w:rPr>
          <w:rFonts w:ascii="Calibri" w:cs="Calibri" w:eastAsia="Calibri" w:hAnsi="Calibri"/>
          <w:color w:val="595959"/>
          <w:sz w:val="18"/>
          <w:szCs w:val="18"/>
        </w:rPr>
        <w:t xml:space="preserve">          éq. 4(30), 4(35), 4(41)</w:t>
      </w:r>
    </w:p>
    <w:p>
      <w:pPr>
        <w:spacing w:after="140" w:line="276"/>
        <w:jc w:val="both"/>
      </w:pPr>
      <w:r>
        <w:rPr>
          <w:rFonts w:ascii="Calibri" w:cs="Calibri" w:eastAsia="Calibri" w:hAnsi="Calibri"/>
          <w:sz w:val="21"/>
          <w:szCs w:val="21"/>
        </w:rPr>
        <w:t xml:space="preserve">α est l’angle entre l’écoulement et l’axe de l’aspérité : 90° quand elle est en travers du flux, 0 quand elle lui est parallèle.</w:t>
      </w:r>
    </w:p>
    <w:p>
      <w:pPr>
        <w:keepNext/>
        <w:spacing w:after="60" w:before="220"/>
        <w:jc w:val="center"/>
      </w:pPr>
      <w:r>
        <w:drawing>
          <wp:inline distT="0" distB="0" distL="0" distR="0">
            <wp:extent cx="4572000" cy="322897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228975"/>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A.24 — Figure 4.45 du rapport : le rapport mesuré comparé à sin²α, sur les données de Wieghardt et de Kovalenko.</w:t>
      </w:r>
    </w:p>
    <w:p>
      <w:pPr>
        <w:keepNext/>
        <w:spacing w:after="60" w:before="220"/>
        <w:jc w:val="center"/>
      </w:pPr>
      <w:r>
        <w:drawing>
          <wp:inline distT="0" distB="0" distL="0" distR="0">
            <wp:extent cx="4572000" cy="266700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667000"/>
                    </a:xfrm>
                    <a:prstGeom prst="rect">
                      <a:avLst/>
                    </a:prstGeom>
                  </pic:spPr>
                </pic:pic>
              </a:graphicData>
            </a:graphic>
          </wp:inline>
        </w:drawing>
      </w:r>
    </w:p>
    <w:p>
      <w:pPr>
        <w:spacing w:after="240"/>
        <w:jc w:val="center"/>
      </w:pPr>
      <w:r>
        <w:rPr>
          <w:rFonts w:ascii="Calibri" w:cs="Calibri" w:eastAsia="Calibri" w:hAnsi="Calibri"/>
          <w:i/>
          <w:iCs/>
          <w:color w:val="595959"/>
          <w:sz w:val="17"/>
          <w:szCs w:val="17"/>
        </w:rPr>
        <w:t xml:space="preserve">Figure A.25 — La loi retenue, sin²α.</w:t>
      </w:r>
    </w:p>
    <w:p>
      <w:pPr>
        <w:spacing w:after="140" w:line="276"/>
        <w:jc w:val="both"/>
      </w:pPr>
      <w:r>
        <w:rPr>
          <w:rFonts w:ascii="Calibri" w:cs="Calibri" w:eastAsia="Calibri" w:hAnsi="Calibri"/>
          <w:sz w:val="21"/>
          <w:szCs w:val="21"/>
        </w:rPr>
        <w:t xml:space="preserve">Deux précisions. D’une part, la loi n’est établie que sur des arêtes (§ 4.3.2.3) ; l’appliquer aux marches est une hypothèse explicite du rapport, pas une mesure. D’autre part, elle suppose que la traînée est rapportée à l’aire frontale projetée — c’est bien la convention retenue ici.</w:t>
      </w:r>
    </w:p>
    <w:p>
      <w:pPr>
        <w:pStyle w:val="Heading1"/>
        <w:spacing w:after="140" w:before="360"/>
      </w:pPr>
      <w:bookmarkStart w:name="_Toc25" w:id="25"/>
      <w:r>
        <w:t xml:space="preserve">A.8  Gradient de pression : le facteur de Nash et Bradshaw</w:t>
      </w:r>
      <w:bookmarkEnd w:id="25"/>
    </w:p>
    <w:p>
      <w:pPr>
        <w:spacing w:after="140" w:line="276"/>
        <w:jc w:val="both"/>
      </w:pPr>
      <w:r>
        <w:rPr>
          <w:rFonts w:ascii="Calibri" w:cs="Calibri" w:eastAsia="Calibri" w:hAnsi="Calibri"/>
          <w:sz w:val="21"/>
          <w:szCs w:val="21"/>
        </w:rPr>
        <w:t xml:space="preserve">Toutes les données du § 4.3 proviennent d’essais sur plaque plane, à gradient de pression nul. Sur un profil, l’histoire de la couche limite en aval de l’aspérité change le résultat, et pas marginalement.</w:t>
      </w:r>
    </w:p>
    <w:p>
      <w:pPr>
        <w:spacing w:after="140" w:line="276"/>
        <w:jc w:val="both"/>
      </w:pPr>
      <w:r>
        <w:rPr>
          <w:rFonts w:ascii="Calibri" w:cs="Calibri" w:eastAsia="Calibri" w:hAnsi="Calibri"/>
          <w:sz w:val="21"/>
          <w:szCs w:val="21"/>
        </w:rPr>
        <w:t xml:space="preserve">Nash et Bradshaw ont montré en 1967 que ce que l’aspérité ajoute à l’épaisseur de quantité de mouvement est transporté jusqu’au bord de fuite, et amplifié en chemin. L’hypothèse naïve — la traînée est simplement proportionnelle à la pression dynamique locale — peut sous-estimer largement l’incrément réel. Le § 5.1 du rapport en tire un facteur d’amplification :</w:t>
      </w:r>
    </w:p>
    <w:p>
      <w:pPr>
        <w:spacing w:after="160" w:before="160"/>
        <w:jc w:val="center"/>
      </w:pPr>
      <w:r>
        <w:rPr>
          <w:rFonts w:ascii="Cambria" w:cs="Cambria" w:eastAsia="Cambria" w:hAnsi="Cambria"/>
          <w:sz w:val="22"/>
          <w:szCs w:val="22"/>
        </w:rPr>
        <w:t xml:space="preserve">m_d = (u_eo/V₀)^4,2 × (V₀/u_eT) × (θ_o/θ_T)^(1/5)</w:t>
      </w:r>
      <w:r>
        <w:rPr>
          <w:rFonts w:ascii="Calibri" w:cs="Calibri" w:eastAsia="Calibri" w:hAnsi="Calibri"/>
          <w:color w:val="595959"/>
          <w:sz w:val="18"/>
          <w:szCs w:val="18"/>
        </w:rPr>
        <w:t xml:space="preserve">          éq. 5(5)</w:t>
      </w:r>
    </w:p>
    <w:p>
      <w:pPr>
        <w:spacing w:after="140" w:line="276"/>
        <w:jc w:val="both"/>
      </w:pPr>
      <w:r>
        <w:rPr>
          <w:rFonts w:ascii="Calibri" w:cs="Calibri" w:eastAsia="Calibri" w:hAnsi="Calibri"/>
          <w:sz w:val="21"/>
          <w:szCs w:val="21"/>
        </w:rPr>
        <w:t xml:space="preserve">où l’indice o désigne la position de l’aspérité, l’indice T le bord de fuite, V₀ la vitesse amont non perturbée et θ l’épaisseur de quantité de mouvement. Sur plaque plane, tout vaut 1 et m_d vaut exactement 1.</w:t>
      </w:r>
    </w:p>
    <w:p>
      <w:pPr>
        <w:spacing w:after="140" w:line="276"/>
        <w:jc w:val="both"/>
      </w:pPr>
      <w:r>
        <w:rPr>
          <w:rFonts w:ascii="Calibri" w:cs="Calibri" w:eastAsia="Calibri" w:hAnsi="Calibri"/>
          <w:sz w:val="21"/>
          <w:szCs w:val="21"/>
        </w:rPr>
        <w:t xml:space="preserve">À titre d’exemple, une aspérité placée sur un pic de survitesse avec u_eo/V₀ = 1,25, u_eT/V₀ = 0,95 et θ_o/θ_T = 0,4 donne m_d = 2,24, là où la proportionnalité naïve aurait donné 1,25² = 1,56.</w:t>
      </w:r>
    </w:p>
    <w:tbl>
      <w:tblPr>
        <w:tblW w:type="dxa" w:w="9412"/>
        <w:tblBorders>
          <w:top w:val="single" w:color="1F4E79" w:sz="6"/>
          <w:left w:val="single" w:color="1F4E79" w:sz="6"/>
          <w:bottom w:val="single" w:color="1F4E79" w:sz="6"/>
          <w:right w:val="single" w:color="1F4E79" w:sz="6"/>
          <w:insideH w:val="single" w:color="auto" w:sz="4"/>
          <w:insideV w:val="single" w:color="auto" w:sz="4"/>
        </w:tblBorders>
      </w:tblPr>
      <w:tblGrid>
        <w:gridCol w:w="9412"/>
      </w:tblGrid>
      <w:tr>
        <w:tc>
          <w:tcPr>
            <w:tcW w:type="dxa" w:w="9412"/>
            <w:shd w:fill="F2F7FC" w:color="auto" w:val="clear"/>
            <w:tcMar>
              <w:top w:type="dxa" w:w="140"/>
              <w:left w:type="dxa" w:w="180"/>
              <w:bottom w:type="dxa" w:w="140"/>
              <w:right w:type="dxa" w:w="180"/>
            </w:tcMar>
          </w:tcPr>
          <w:p>
            <w:pPr>
              <w:spacing w:after="80"/>
            </w:pPr>
            <w:r>
              <w:rPr>
                <w:rFonts w:ascii="Calibri" w:cs="Calibri" w:eastAsia="Calibri" w:hAnsi="Calibri"/>
                <w:caps/>
                <w:color w:val="1F4E79"/>
                <w:sz w:val="20"/>
                <w:szCs w:val="20"/>
              </w:rPr>
              <w:t xml:space="preserve">Pourquoi ce facteur n’est pas appliqué d’office</w:t>
            </w:r>
          </w:p>
          <w:p>
            <w:pPr>
              <w:spacing w:after="60" w:line="264"/>
              <w:jc w:val="both"/>
            </w:pPr>
            <w:r>
              <w:rPr>
                <w:rFonts w:ascii="Calibri" w:cs="Calibri" w:eastAsia="Calibri" w:hAnsi="Calibri"/>
                <w:sz w:val="20"/>
                <w:szCs w:val="20"/>
              </w:rPr>
              <w:t xml:space="preserve">m_d demande des grandeurs au bord de fuite — vitesse et épaisseur de quantité de mouvement — que le calcul d’une marche isolée n’a aucun moyen de deviner. Le script l’expose en fonction séparée et le multiplie seulement si on le lui fournit. Un ΔD obtenu sans lui doit être lu comme une valeur de plaque plane.</w:t>
            </w:r>
          </w:p>
          <w:p>
            <w:pPr>
              <w:spacing w:after="60" w:line="264"/>
              <w:jc w:val="both"/>
            </w:pPr>
            <w:r>
              <w:rPr>
                <w:rFonts w:ascii="Calibri" w:cs="Calibri" w:eastAsia="Calibri" w:hAnsi="Calibri"/>
                <w:sz w:val="20"/>
                <w:szCs w:val="20"/>
              </w:rPr>
              <w:t xml:space="preserve">Les hypothèses du facteur sont par ailleurs à garder en tête : écoulement incompressible, profil turbulent en 1/7, petite perturbation. La version compressible de Cook sous-estimait les incréments mesurés d’environ 10 % en subcritique.</w:t>
            </w:r>
          </w:p>
        </w:tc>
      </w:tr>
    </w:tbl>
    <w:p>
      <w:r>
        <w:br w:type="page"/>
      </w:r>
    </w:p>
    <w:p>
      <w:pPr>
        <w:pStyle w:val="Heading1"/>
        <w:spacing w:after="140" w:before="360"/>
      </w:pPr>
      <w:bookmarkStart w:name="_Toc26" w:id="26"/>
      <w:r>
        <w:t xml:space="preserve">A.9  Exemple numérique complet</w:t>
      </w:r>
      <w:bookmarkEnd w:id="26"/>
    </w:p>
    <w:p>
      <w:pPr>
        <w:spacing w:after="140" w:line="276"/>
        <w:jc w:val="both"/>
      </w:pPr>
      <w:r>
        <w:rPr>
          <w:rFonts w:ascii="Calibri" w:cs="Calibri" w:eastAsia="Calibri" w:hAnsi="Calibri"/>
          <w:sz w:val="21"/>
          <w:szCs w:val="21"/>
        </w:rPr>
        <w:t xml:space="preserve">On déroule la recette du § A.3.4 sur un cas de croisière : un avion de transport au niveau de vol 360, une aspérité située à 10 m du bord d’attaque sur l’extrados, et un nombre de Mach local de 0,82.</w:t>
      </w:r>
    </w:p>
    <w:p>
      <w:pPr>
        <w:pStyle w:val="Heading2"/>
        <w:spacing w:after="140" w:before="280"/>
      </w:pPr>
      <w:bookmarkStart w:name="_Toc27" w:id="27"/>
      <w:r>
        <w:t xml:space="preserve">A.9.1  Étapes 1 et 2 — l’écoulement et la couche limite</w:t>
      </w:r>
      <w:bookmarkEnd w:id="27"/>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2071"/>
        <w:gridCol w:w="2447"/>
        <w:gridCol w:w="4894"/>
      </w:tblGrid>
      <w:tr>
        <w:trPr>
          <w:cantSplit/>
          <w:tblHeader/>
        </w:trPr>
        <w:tc>
          <w:tcPr>
            <w:tcW w:type="dxa" w:w="2071"/>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Grandeur</w:t>
            </w:r>
          </w:p>
        </w:tc>
        <w:tc>
          <w:tcPr>
            <w:tcW w:type="dxa" w:w="2447"/>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Valeur</w:t>
            </w:r>
          </w:p>
        </w:tc>
        <w:tc>
          <w:tcPr>
            <w:tcW w:type="dxa" w:w="4894"/>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Provenance</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Altitude</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11 000 m</w:t>
            </w:r>
          </w:p>
        </w:tc>
        <w:tc>
          <w:tcPr>
            <w:tcW w:type="dxa" w:w="48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donnée</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Mach local</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0,82</w:t>
            </w:r>
          </w:p>
        </w:tc>
        <w:tc>
          <w:tcPr>
            <w:tcW w:type="dxa" w:w="48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donnée (bord de couche limite)</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T_e</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216,77 K</w:t>
            </w:r>
          </w:p>
        </w:tc>
        <w:tc>
          <w:tcPr>
            <w:tcW w:type="dxa" w:w="48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ISA</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p_e</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22 700 Pa</w:t>
            </w:r>
          </w:p>
        </w:tc>
        <w:tc>
          <w:tcPr>
            <w:tcW w:type="dxa" w:w="48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ISA</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u_e</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242,0 m/s</w:t>
            </w:r>
          </w:p>
        </w:tc>
        <w:tc>
          <w:tcPr>
            <w:tcW w:type="dxa" w:w="48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M · √(γ R T_e)</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ρ_e</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0,3648 kg/m³</w:t>
            </w:r>
          </w:p>
        </w:tc>
        <w:tc>
          <w:tcPr>
            <w:tcW w:type="dxa" w:w="48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p_e / (R T_e)</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q_e</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10 684 Pa</w:t>
            </w:r>
          </w:p>
        </w:tc>
        <w:tc>
          <w:tcPr>
            <w:tcW w:type="dxa" w:w="48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½ ρ_e u_e²</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T_w</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242,9 K</w:t>
            </w:r>
          </w:p>
        </w:tc>
        <w:tc>
          <w:tcPr>
            <w:tcW w:type="dxa" w:w="48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paroi adiabatique</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C_fe</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0,001 552</w:t>
            </w:r>
          </w:p>
        </w:tc>
        <w:tc>
          <w:tcPr>
            <w:tcW w:type="dxa" w:w="48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plaque plane, x = 10 m</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τ_w</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16,58 Pa</w:t>
            </w:r>
          </w:p>
        </w:tc>
        <w:tc>
          <w:tcPr>
            <w:tcW w:type="dxa" w:w="48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C_fe · q_e</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u_τ</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7,136 m/s</w:t>
            </w:r>
          </w:p>
        </w:tc>
        <w:tc>
          <w:tcPr>
            <w:tcW w:type="dxa" w:w="48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√(τ_w / ρ_w)</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ν_w</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4,80 × 10⁻⁵ m²/s</w:t>
            </w:r>
          </w:p>
        </w:tc>
        <w:tc>
          <w:tcPr>
            <w:tcW w:type="dxa" w:w="48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μ(T_w) / ρ_w</w:t>
            </w:r>
          </w:p>
        </w:tc>
      </w:tr>
      <w:tr>
        <w:trPr>
          <w:cantSplit/>
        </w:trPr>
        <w:tc>
          <w:tcPr>
            <w:tcW w:type="dxa" w:w="20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δ</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105 mm</w:t>
            </w:r>
          </w:p>
        </w:tc>
        <w:tc>
          <w:tcPr>
            <w:tcW w:type="dxa" w:w="4894"/>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0,37 · x · Re*ₓ^(−0,2)</w:t>
            </w:r>
          </w:p>
        </w:tc>
      </w:tr>
    </w:tbl>
    <w:p>
      <w:pPr>
        <w:spacing w:after="160"/>
      </w:pPr>
    </w:p>
    <w:p>
      <w:pPr>
        <w:pStyle w:val="Heading2"/>
        <w:spacing w:after="140" w:before="280"/>
      </w:pPr>
      <w:bookmarkStart w:name="_Toc28" w:id="28"/>
      <w:r>
        <w:t xml:space="preserve">A.9.2  Étapes 3 à 6 — les trois géométries</w:t>
      </w:r>
      <w:bookmarkEnd w:id="28"/>
    </w:p>
    <w:p>
      <w:pPr>
        <w:spacing w:after="140" w:line="276"/>
        <w:jc w:val="both"/>
      </w:pPr>
      <w:r>
        <w:rPr>
          <w:rFonts w:ascii="Calibri" w:cs="Calibri" w:eastAsia="Calibri" w:hAnsi="Calibri"/>
          <w:sz w:val="21"/>
          <w:szCs w:val="21"/>
        </w:rPr>
        <w:t xml:space="preserve">On compare trois aspérités de même hauteur, 1,5 mm, courant sur 2,4 m d’envergure. La surface de référence de l’avion est prise à 122,6 m².</w:t>
      </w:r>
    </w:p>
    <w:p>
      <w:pPr>
        <w:spacing w:after="140" w:line="276"/>
        <w:jc w:val="both"/>
      </w:pPr>
      <w:r>
        <w:rPr>
          <w:rFonts w:ascii="Calibri" w:cs="Calibri" w:eastAsia="Calibri" w:hAnsi="Calibri"/>
          <w:sz w:val="21"/>
          <w:szCs w:val="21"/>
        </w:rPr>
        <w:t xml:space="preserve">Pour toutes les trois, l’étape 3 donne le même nombre de Reynolds de rugosité :</w:t>
      </w:r>
    </w:p>
    <w:p>
      <w:pPr>
        <w:spacing w:after="160" w:before="160"/>
        <w:jc w:val="center"/>
      </w:pPr>
      <w:r>
        <w:rPr>
          <w:rFonts w:ascii="Cambria" w:cs="Cambria" w:eastAsia="Cambria" w:hAnsi="Cambria"/>
          <w:sz w:val="22"/>
          <w:szCs w:val="22"/>
        </w:rPr>
        <w:t xml:space="preserve">h⁺ = 7,136 × 0,0015 / 4,80·10⁻⁵ = 223          h/δ = 0,014</w:t>
      </w:r>
    </w:p>
    <w:p>
      <w:pPr>
        <w:spacing w:after="140" w:line="276"/>
        <w:jc w:val="both"/>
      </w:pPr>
      <w:r>
        <w:rPr>
          <w:rFonts w:ascii="Calibri" w:cs="Calibri" w:eastAsia="Calibri" w:hAnsi="Calibri"/>
          <w:sz w:val="21"/>
          <w:szCs w:val="21"/>
        </w:rPr>
        <w:t xml:space="preserve">ce qui est confortablement dans le domaine : h⁺ entre 25 et 2 000, h/δ bien en dessous de 0,03. Aucun avertissement n’est émis.</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2824"/>
        <w:gridCol w:w="1506"/>
        <w:gridCol w:w="1506"/>
        <w:gridCol w:w="1506"/>
        <w:gridCol w:w="2070"/>
      </w:tblGrid>
      <w:tr>
        <w:trPr>
          <w:cantSplit/>
          <w:tblHeader/>
        </w:trPr>
        <w:tc>
          <w:tcPr>
            <w:tcW w:type="dxa" w:w="2824"/>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Géométrie</w:t>
            </w:r>
          </w:p>
        </w:tc>
        <w:tc>
          <w:tcPr>
            <w:tcW w:type="dxa" w:w="1506"/>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CDe/Cfe</w:t>
            </w:r>
          </w:p>
        </w:tc>
        <w:tc>
          <w:tcPr>
            <w:tcW w:type="dxa" w:w="1506"/>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f_forme</w:t>
            </w:r>
          </w:p>
        </w:tc>
        <w:tc>
          <w:tcPr>
            <w:tcW w:type="dxa" w:w="1506"/>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ΔD [N]</w:t>
            </w:r>
          </w:p>
        </w:tc>
        <w:tc>
          <w:tcPr>
            <w:tcW w:type="dxa" w:w="2070"/>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ΔCx</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Marche montante</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70,9</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4,23</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3,23 × 10⁻⁶</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Marche descendante</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34,7</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2,07</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1,58 × 10⁻⁶</w:t>
            </w:r>
          </w:p>
        </w:tc>
      </w:tr>
      <w:tr>
        <w:trPr>
          <w:cantSplit/>
        </w:trPr>
        <w:tc>
          <w:tcPr>
            <w:tcW w:type="dxa" w:w="282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Arête carrée (t = h)</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197,0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1,00</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11,76</w:t>
            </w:r>
          </w:p>
        </w:tc>
        <w:tc>
          <w:tcPr>
            <w:tcW w:type="dxa" w:w="2070"/>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8,98 × 10⁻⁶</w:t>
            </w:r>
          </w:p>
        </w:tc>
      </w:tr>
    </w:tbl>
    <w:p>
      <w:pPr>
        <w:spacing w:after="160"/>
      </w:pPr>
    </w:p>
    <w:p>
      <w:pPr>
        <w:spacing w:after="140" w:line="276"/>
        <w:jc w:val="both"/>
      </w:pPr>
      <w:r>
        <w:rPr>
          <w:rFonts w:ascii="Calibri" w:cs="Calibri" w:eastAsia="Calibri" w:hAnsi="Calibri"/>
          <w:sz w:val="21"/>
          <w:szCs w:val="21"/>
        </w:rPr>
        <w:t xml:space="preserve">Le détail du calcul pour la marche montante, étape par étape :</w:t>
      </w:r>
    </w:p>
    <w:p>
      <w:pPr>
        <w:spacing w:after="160" w:before="160"/>
        <w:jc w:val="center"/>
      </w:pPr>
      <w:r>
        <w:rPr>
          <w:rFonts w:ascii="Cambria" w:cs="Cambria" w:eastAsia="Cambria" w:hAnsi="Cambria"/>
          <w:sz w:val="22"/>
          <w:szCs w:val="22"/>
        </w:rPr>
        <w:t xml:space="preserve">CDe/Cfe = 61,5 · log₁₀(223) − 74,0 = 70,9          (M = 0,82 ≈ 0,8)</w:t>
      </w:r>
    </w:p>
    <w:p>
      <w:pPr>
        <w:spacing w:after="160" w:before="160"/>
        <w:jc w:val="center"/>
      </w:pPr>
      <w:r>
        <w:rPr>
          <w:rFonts w:ascii="Cambria" w:cs="Cambria" w:eastAsia="Cambria" w:hAnsi="Cambria"/>
          <w:sz w:val="22"/>
          <w:szCs w:val="22"/>
        </w:rPr>
        <w:t xml:space="preserve">f_e = 0,0015 × 2,4 = 3,60 × 10⁻³ m²</w:t>
      </w:r>
    </w:p>
    <w:p>
      <w:pPr>
        <w:spacing w:after="160" w:before="160"/>
        <w:jc w:val="center"/>
      </w:pPr>
      <w:r>
        <w:rPr>
          <w:rFonts w:ascii="Cambria" w:cs="Cambria" w:eastAsia="Cambria" w:hAnsi="Cambria"/>
          <w:sz w:val="22"/>
          <w:szCs w:val="22"/>
        </w:rPr>
        <w:t xml:space="preserve">ΔD = 70,9 × 1,00 × 16,58 × 3,60·10⁻³ = 4,23 N</w:t>
      </w:r>
    </w:p>
    <w:p>
      <w:pPr>
        <w:spacing w:after="160" w:before="160"/>
        <w:jc w:val="center"/>
      </w:pPr>
      <w:r>
        <w:rPr>
          <w:rFonts w:ascii="Cambria" w:cs="Cambria" w:eastAsia="Cambria" w:hAnsi="Cambria"/>
          <w:sz w:val="22"/>
          <w:szCs w:val="22"/>
        </w:rPr>
        <w:t xml:space="preserve">ΔCx = 4,23 / (10 684 × 122,6) = 3,23 × 10⁻⁶</w:t>
      </w:r>
    </w:p>
    <w:p>
      <w:pPr>
        <w:pStyle w:val="Heading2"/>
        <w:spacing w:after="140" w:before="280"/>
      </w:pPr>
      <w:bookmarkStart w:name="_Toc29" w:id="29"/>
      <w:r>
        <w:t xml:space="preserve">A.9.3  Ce que rapporte un chanfrein</w:t>
      </w:r>
      <w:bookmarkEnd w:id="29"/>
    </w:p>
    <w:p>
      <w:pPr>
        <w:spacing w:after="140" w:line="276"/>
        <w:jc w:val="both"/>
      </w:pPr>
      <w:r>
        <w:rPr>
          <w:rFonts w:ascii="Calibri" w:cs="Calibri" w:eastAsia="Calibri" w:hAnsi="Calibri"/>
          <w:sz w:val="21"/>
          <w:szCs w:val="21"/>
        </w:rPr>
        <w:t xml:space="preserve">Même marche montante de 1,5 mm, arête cassée :</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2447"/>
        <w:gridCol w:w="2259"/>
        <w:gridCol w:w="2259"/>
        <w:gridCol w:w="2447"/>
      </w:tblGrid>
      <w:tr>
        <w:trPr>
          <w:cantSplit/>
          <w:tblHeader/>
        </w:trPr>
        <w:tc>
          <w:tcPr>
            <w:tcW w:type="dxa" w:w="2447"/>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Angle θ</w:t>
            </w:r>
          </w:p>
        </w:tc>
        <w:tc>
          <w:tcPr>
            <w:tcW w:type="dxa" w:w="2259"/>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f_forme</w:t>
            </w:r>
          </w:p>
        </w:tc>
        <w:tc>
          <w:tcPr>
            <w:tcW w:type="dxa" w:w="2259"/>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ΔD [N]</w:t>
            </w:r>
          </w:p>
        </w:tc>
        <w:tc>
          <w:tcPr>
            <w:tcW w:type="dxa" w:w="2447"/>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Gain</w:t>
            </w:r>
          </w:p>
        </w:tc>
      </w:tr>
      <w:tr>
        <w:trPr>
          <w:cantSplit/>
        </w:trPr>
        <w:tc>
          <w:tcPr>
            <w:tcW w:type="dxa" w:w="2447"/>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90° (vive)</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1,000</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4,23</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w:t>
            </w:r>
          </w:p>
        </w:tc>
      </w:tr>
      <w:tr>
        <w:trPr>
          <w:cantSplit/>
        </w:trPr>
        <w:tc>
          <w:tcPr>
            <w:tcW w:type="dxa" w:w="2447"/>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45°</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0,493</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2,08</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−51 %</w:t>
            </w:r>
          </w:p>
        </w:tc>
      </w:tr>
      <w:tr>
        <w:trPr>
          <w:cantSplit/>
        </w:trPr>
        <w:tc>
          <w:tcPr>
            <w:tcW w:type="dxa" w:w="2447"/>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30°</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0,302</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1,28</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−70 %</w:t>
            </w:r>
          </w:p>
        </w:tc>
      </w:tr>
      <w:tr>
        <w:trPr>
          <w:cantSplit/>
        </w:trPr>
        <w:tc>
          <w:tcPr>
            <w:tcW w:type="dxa" w:w="2447"/>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15°</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0,168</w:t>
            </w:r>
          </w:p>
        </w:tc>
        <w:tc>
          <w:tcPr>
            <w:tcW w:type="dxa" w:w="2259"/>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0,71</w:t>
            </w:r>
          </w:p>
        </w:tc>
        <w:tc>
          <w:tcPr>
            <w:tcW w:type="dxa" w:w="2447"/>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−83 %</w:t>
            </w:r>
          </w:p>
        </w:tc>
      </w:tr>
    </w:tbl>
    <w:p>
      <w:pPr>
        <w:spacing w:after="160"/>
      </w:pPr>
    </w:p>
    <w:p>
      <w:pPr>
        <w:pStyle w:val="Heading2"/>
        <w:spacing w:after="140" w:before="280"/>
      </w:pPr>
      <w:bookmarkStart w:name="_Toc30" w:id="30"/>
      <w:r>
        <w:t xml:space="preserve">A.9.4  Sensibilité à la hauteur</w:t>
      </w:r>
      <w:bookmarkEnd w:id="30"/>
    </w:p>
    <w:p>
      <w:pPr>
        <w:spacing w:after="140" w:line="276"/>
        <w:jc w:val="both"/>
      </w:pPr>
      <w:r>
        <w:rPr>
          <w:rFonts w:ascii="Calibri" w:cs="Calibri" w:eastAsia="Calibri" w:hAnsi="Calibri"/>
          <w:sz w:val="21"/>
          <w:szCs w:val="21"/>
        </w:rPr>
        <w:t xml:space="preserve">Même configuration, marche montante, par mètre d’envergure. La traînée croît plus vite que la hauteur : doubler h fait plus que doubler ΔD, parce que CDe/Cfe grandit lui aussi avec log(h⁺).</w:t>
      </w:r>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1694"/>
        <w:gridCol w:w="1506"/>
        <w:gridCol w:w="1506"/>
        <w:gridCol w:w="2071"/>
        <w:gridCol w:w="2635"/>
      </w:tblGrid>
      <w:tr>
        <w:trPr>
          <w:cantSplit/>
          <w:tblHeader/>
        </w:trPr>
        <w:tc>
          <w:tcPr>
            <w:tcW w:type="dxa" w:w="1694"/>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h</w:t>
            </w:r>
          </w:p>
        </w:tc>
        <w:tc>
          <w:tcPr>
            <w:tcW w:type="dxa" w:w="1506"/>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h⁺</w:t>
            </w:r>
          </w:p>
        </w:tc>
        <w:tc>
          <w:tcPr>
            <w:tcW w:type="dxa" w:w="1506"/>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h/δ</w:t>
            </w:r>
          </w:p>
        </w:tc>
        <w:tc>
          <w:tcPr>
            <w:tcW w:type="dxa" w:w="2071"/>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CDe/Cfe</w:t>
            </w:r>
          </w:p>
        </w:tc>
        <w:tc>
          <w:tcPr>
            <w:tcW w:type="dxa" w:w="2635"/>
            <w:shd w:fill="DEEAF6" w:color="auto" w:val="clear"/>
            <w:tcMar>
              <w:top w:type="dxa" w:w="60"/>
              <w:left w:type="dxa" w:w="90"/>
              <w:bottom w:type="dxa" w:w="60"/>
              <w:right w:type="dxa" w:w="90"/>
            </w:tcMar>
            <w:vAlign w:val="center"/>
          </w:tcPr>
          <w:p>
            <w:pPr>
              <w:spacing w:after="0"/>
              <w:jc w:val="center"/>
            </w:pPr>
            <w:r>
              <w:rPr>
                <w:rFonts w:ascii="Calibri" w:cs="Calibri" w:eastAsia="Calibri" w:hAnsi="Calibri"/>
                <w:color w:val="1F4E79"/>
                <w:sz w:val="19"/>
                <w:szCs w:val="19"/>
              </w:rPr>
              <w:t xml:space="preserve">ΔD par mètre</w:t>
            </w:r>
          </w:p>
        </w:tc>
      </w:tr>
      <w:tr>
        <w:trPr>
          <w:cantSplit/>
        </w:trPr>
        <w:tc>
          <w:tcPr>
            <w:tcW w:type="dxa" w:w="169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0,5 mm</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74</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0,005</w:t>
            </w:r>
          </w:p>
        </w:tc>
        <w:tc>
          <w:tcPr>
            <w:tcW w:type="dxa" w:w="20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41,5</w:t>
            </w:r>
          </w:p>
        </w:tc>
        <w:tc>
          <w:tcPr>
            <w:tcW w:type="dxa" w:w="2635"/>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0,34 N</w:t>
            </w:r>
          </w:p>
        </w:tc>
      </w:tr>
      <w:tr>
        <w:trPr>
          <w:cantSplit/>
        </w:trPr>
        <w:tc>
          <w:tcPr>
            <w:tcW w:type="dxa" w:w="169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1,0 mm</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149</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0,009</w:t>
            </w:r>
          </w:p>
        </w:tc>
        <w:tc>
          <w:tcPr>
            <w:tcW w:type="dxa" w:w="20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60,0</w:t>
            </w:r>
          </w:p>
        </w:tc>
        <w:tc>
          <w:tcPr>
            <w:tcW w:type="dxa" w:w="2635"/>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1,00 N</w:t>
            </w:r>
          </w:p>
        </w:tc>
      </w:tr>
      <w:tr>
        <w:trPr>
          <w:cantSplit/>
        </w:trPr>
        <w:tc>
          <w:tcPr>
            <w:tcW w:type="dxa" w:w="169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1,5 mm</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223</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0,014</w:t>
            </w:r>
          </w:p>
        </w:tc>
        <w:tc>
          <w:tcPr>
            <w:tcW w:type="dxa" w:w="20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70,9</w:t>
            </w:r>
          </w:p>
        </w:tc>
        <w:tc>
          <w:tcPr>
            <w:tcW w:type="dxa" w:w="2635"/>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1,76 N</w:t>
            </w:r>
          </w:p>
        </w:tc>
      </w:tr>
      <w:tr>
        <w:trPr>
          <w:cantSplit/>
        </w:trPr>
        <w:tc>
          <w:tcPr>
            <w:tcW w:type="dxa" w:w="169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2,0 mm</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297</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0,019</w:t>
            </w:r>
          </w:p>
        </w:tc>
        <w:tc>
          <w:tcPr>
            <w:tcW w:type="dxa" w:w="20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78,6</w:t>
            </w:r>
          </w:p>
        </w:tc>
        <w:tc>
          <w:tcPr>
            <w:tcW w:type="dxa" w:w="2635"/>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2,61 N</w:t>
            </w:r>
          </w:p>
        </w:tc>
      </w:tr>
      <w:tr>
        <w:trPr>
          <w:cantSplit/>
        </w:trPr>
        <w:tc>
          <w:tcPr>
            <w:tcW w:type="dxa" w:w="1694"/>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3,0 mm</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446</w:t>
            </w:r>
          </w:p>
        </w:tc>
        <w:tc>
          <w:tcPr>
            <w:tcW w:type="dxa" w:w="1506"/>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0,029</w:t>
            </w:r>
          </w:p>
        </w:tc>
        <w:tc>
          <w:tcPr>
            <w:tcW w:type="dxa" w:w="2071"/>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89,4</w:t>
            </w:r>
          </w:p>
        </w:tc>
        <w:tc>
          <w:tcPr>
            <w:tcW w:type="dxa" w:w="2635"/>
            <w:tcMar>
              <w:top w:type="dxa" w:w="60"/>
              <w:left w:type="dxa" w:w="90"/>
              <w:bottom w:type="dxa" w:w="60"/>
              <w:right w:type="dxa" w:w="90"/>
            </w:tcMar>
            <w:vAlign w:val="center"/>
          </w:tcPr>
          <w:p>
            <w:pPr>
              <w:spacing w:after="0"/>
              <w:jc w:val="center"/>
            </w:pPr>
            <w:r>
              <w:rPr>
                <w:rFonts w:ascii="Calibri" w:cs="Calibri" w:eastAsia="Calibri" w:hAnsi="Calibri"/>
                <w:color w:val="000000"/>
                <w:sz w:val="19"/>
                <w:szCs w:val="19"/>
              </w:rPr>
              <w:t xml:space="preserve">4,45 N</w:t>
            </w:r>
          </w:p>
        </w:tc>
      </w:tr>
    </w:tbl>
    <w:p>
      <w:pPr>
        <w:spacing w:after="160"/>
      </w:pPr>
    </w:p>
    <w:p>
      <w:r>
        <w:br w:type="page"/>
      </w:r>
    </w:p>
    <w:p>
      <w:pPr>
        <w:pStyle w:val="Heading1"/>
        <w:spacing w:after="140" w:before="360"/>
      </w:pPr>
      <w:bookmarkStart w:name="_Toc31" w:id="31"/>
      <w:r>
        <w:t xml:space="preserve">A.10  Mise en œuvre : le script livré</w:t>
      </w:r>
      <w:bookmarkEnd w:id="31"/>
    </w:p>
    <w:p>
      <w:pPr>
        <w:spacing w:after="140" w:line="276"/>
        <w:jc w:val="both"/>
      </w:pPr>
      <w:r>
        <w:rPr>
          <w:rFonts w:ascii="Calibri" w:cs="Calibri" w:eastAsia="Calibri" w:hAnsi="Calibri"/>
          <w:sz w:val="21"/>
          <w:szCs w:val="21"/>
        </w:rPr>
        <w:t xml:space="preserve">Le calcul est implémenté dans un fichier Python unique, </w:t>
      </w:r>
      <w:r>
        <w:rPr>
          <w:rFonts w:ascii="Consolas" w:cs="Consolas" w:eastAsia="Consolas" w:hAnsi="Consolas"/>
          <w:sz w:val="20"/>
          <w:szCs w:val="20"/>
        </w:rPr>
        <w:t xml:space="preserve">trainee_marches.py</w:t>
      </w:r>
      <w:r>
        <w:rPr>
          <w:rFonts w:ascii="Calibri" w:cs="Calibri" w:eastAsia="Calibri" w:hAnsi="Calibri"/>
          <w:sz w:val="21"/>
          <w:szCs w:val="21"/>
        </w:rPr>
        <w:t xml:space="preserve">, livré avec cette annexe. Tout y est : les tables extraites, l’atmosphère, la couche limite, les corrélations, les corrections et l’assemblage. Il n’a besoin que de NumPy.</w:t>
      </w:r>
    </w:p>
    <w:p>
      <w:pPr>
        <w:spacing w:after="140" w:line="276"/>
        <w:jc w:val="both"/>
      </w:pPr>
      <w:r>
        <w:rPr>
          <w:rFonts w:ascii="Calibri" w:cs="Calibri" w:eastAsia="Calibri" w:hAnsi="Calibri"/>
          <w:sz w:val="21"/>
          <w:szCs w:val="21"/>
        </w:rPr>
        <w:t xml:space="preserve">Deux bibliothèques maison sont utilisées si elles sont présentes, et seulement si elles le sont : </w:t>
      </w:r>
      <w:r>
        <w:rPr>
          <w:rFonts w:ascii="Consolas" w:cs="Consolas" w:eastAsia="Consolas" w:hAnsi="Consolas"/>
          <w:sz w:val="20"/>
          <w:szCs w:val="20"/>
        </w:rPr>
        <w:t xml:space="preserve">cfd-atm</w:t>
      </w:r>
      <w:r>
        <w:rPr>
          <w:rFonts w:ascii="Calibri" w:cs="Calibri" w:eastAsia="Calibri" w:hAnsi="Calibri"/>
          <w:sz w:val="21"/>
          <w:szCs w:val="21"/>
        </w:rPr>
        <w:t xml:space="preserve"> pour l’atmosphère — ce qui donne accès à l’ISA décalée d’un ΔT, aux altitudes pression et géopotentielle, et aux conversions Vc / EAS / TAS vers le Mach — et </w:t>
      </w:r>
      <w:r>
        <w:rPr>
          <w:rFonts w:ascii="Consolas" w:cs="Consolas" w:eastAsia="Consolas" w:hAnsi="Consolas"/>
          <w:sz w:val="20"/>
          <w:szCs w:val="20"/>
        </w:rPr>
        <w:t xml:space="preserve">cfd-plot</w:t>
      </w:r>
      <w:r>
        <w:rPr>
          <w:rFonts w:ascii="Calibri" w:cs="Calibri" w:eastAsia="Calibri" w:hAnsi="Calibri"/>
          <w:sz w:val="21"/>
          <w:szCs w:val="21"/>
        </w:rPr>
        <w:t xml:space="preserve"> pour le style des figures. En leur absence, le script retombe sur une ISA interne limitée à l’altitude géométrique et sur Matplotlib nu ; ce qu’il ne sait pas faire, il le refuse en le disant, plutôt que de rendre un nombre faux.</w:t>
      </w:r>
    </w:p>
    <w:p>
      <w:pPr>
        <w:pStyle w:val="Heading2"/>
        <w:spacing w:after="140" w:before="280"/>
      </w:pPr>
      <w:bookmarkStart w:name="_Toc32" w:id="32"/>
      <w:r>
        <w:t xml:space="preserve">A.10.1  Usage</w:t>
      </w:r>
      <w:bookmarkEnd w:id="32"/>
    </w:p>
    <w:p>
      <w:pPr>
        <w:pBdr>
          <w:top w:val="single" w:color="BFBFBF" w:sz="2"/>
          <w:left w:val="single" w:color="BFBFBF" w:sz="2"/>
          <w:bottom w:val="single" w:color="BFBFBF" w:sz="2"/>
          <w:right w:val="single" w:color="BFBFBF" w:sz="2"/>
        </w:pBdr>
        <w:shd w:fill="F2F2F2" w:color="auto" w:val="clear"/>
        <w:spacing w:after="200" w:before="80"/>
      </w:pPr>
      <w:r>
        <w:rPr>
          <w:rFonts w:ascii="Consolas" w:cs="Consolas" w:eastAsia="Consolas" w:hAnsi="Consolas"/>
          <w:sz w:val="19"/>
          <w:szCs w:val="19"/>
        </w:rPr>
        <w:t xml:space="preserve">  python3 trainee_marches.py</w:t>
      </w:r>
      <w:r>
        <w:rPr>
          <w:rFonts w:ascii="Consolas" w:cs="Consolas" w:eastAsia="Consolas" w:hAnsi="Consolas"/>
          <w:sz w:val="19"/>
          <w:szCs w:val="19"/>
        </w:rPr>
        <w:br/>
        <w:t xml:space="preserve">  python3 trainee_marches.py --figures ./FIGURES</w:t>
      </w:r>
    </w:p>
    <w:p>
      <w:pPr>
        <w:spacing w:after="140" w:line="276"/>
        <w:jc w:val="both"/>
      </w:pPr>
      <w:r>
        <w:rPr>
          <w:rFonts w:ascii="Calibri" w:cs="Calibri" w:eastAsia="Calibri" w:hAnsi="Calibri"/>
          <w:sz w:val="21"/>
          <w:szCs w:val="21"/>
        </w:rPr>
        <w:t xml:space="preserve">La première commande déroule l’exemple du § A.9 et l’affiche étape par étape. La seconde écrit en plus les planches d’extraction reproduites dans cette annexe — ce sont donc bien les tables du fichier livré qui ont servi à les tracer.</w:t>
      </w:r>
    </w:p>
    <w:p>
      <w:pPr>
        <w:pStyle w:val="Heading2"/>
        <w:spacing w:after="140" w:before="280"/>
      </w:pPr>
      <w:bookmarkStart w:name="_Toc33" w:id="33"/>
      <w:r>
        <w:t xml:space="preserve">A.10.2  En bibliothèque</w:t>
      </w:r>
      <w:bookmarkEnd w:id="33"/>
    </w:p>
    <w:p>
      <w:pPr>
        <w:pBdr>
          <w:top w:val="single" w:color="BFBFBF" w:sz="2"/>
          <w:left w:val="single" w:color="BFBFBF" w:sz="2"/>
          <w:bottom w:val="single" w:color="BFBFBF" w:sz="2"/>
          <w:right w:val="single" w:color="BFBFBF" w:sz="2"/>
        </w:pBdr>
        <w:shd w:fill="F2F2F2" w:color="auto" w:val="clear"/>
        <w:spacing w:after="200" w:before="80"/>
      </w:pPr>
      <w:r>
        <w:rPr>
          <w:rFonts w:ascii="Consolas" w:cs="Consolas" w:eastAsia="Consolas" w:hAnsi="Consolas"/>
          <w:sz w:val="19"/>
          <w:szCs w:val="19"/>
        </w:rPr>
        <w:t xml:space="preserve">  from trainee_marches import (</w:t>
      </w:r>
      <w:r>
        <w:rPr>
          <w:rFonts w:ascii="Consolas" w:cs="Consolas" w:eastAsia="Consolas" w:hAnsi="Consolas"/>
          <w:sz w:val="19"/>
          <w:szCs w:val="19"/>
        </w:rPr>
        <w:br/>
        <w:t xml:space="preserve">      EtatLocal, CoucheLimite, Asperite, calculer_trainee, MONTANTE)</w:t>
      </w:r>
      <w:r>
        <w:rPr>
          <w:rFonts w:ascii="Consolas" w:cs="Consolas" w:eastAsia="Consolas" w:hAnsi="Consolas"/>
          <w:sz w:val="19"/>
          <w:szCs w:val="19"/>
        </w:rPr>
        <w:br/>
        <w:t xml:space="preserve">  </w:t>
      </w:r>
      <w:r>
        <w:rPr>
          <w:rFonts w:ascii="Consolas" w:cs="Consolas" w:eastAsia="Consolas" w:hAnsi="Consolas"/>
          <w:sz w:val="19"/>
          <w:szCs w:val="19"/>
        </w:rPr>
        <w:br/>
        <w:t xml:space="preserve">  # 1-2. ecoulement LOCAL et couche limite non perturbee</w:t>
      </w:r>
      <w:r>
        <w:rPr>
          <w:rFonts w:ascii="Consolas" w:cs="Consolas" w:eastAsia="Consolas" w:hAnsi="Consolas"/>
          <w:sz w:val="19"/>
          <w:szCs w:val="19"/>
        </w:rPr>
        <w:br/>
        <w:t xml:space="preserve">  etat   = EtatLocal.atmosphere(altitude=11000.0, mach=0.82)</w:t>
      </w:r>
      <w:r>
        <w:rPr>
          <w:rFonts w:ascii="Consolas" w:cs="Consolas" w:eastAsia="Consolas" w:hAnsi="Consolas"/>
          <w:sz w:val="19"/>
          <w:szCs w:val="19"/>
        </w:rPr>
        <w:br/>
        <w:t xml:space="preserve">  couche = CoucheLimite.plaque_plane(etat, x=10.0)</w:t>
      </w:r>
      <w:r>
        <w:rPr>
          <w:rFonts w:ascii="Consolas" w:cs="Consolas" w:eastAsia="Consolas" w:hAnsi="Consolas"/>
          <w:sz w:val="19"/>
          <w:szCs w:val="19"/>
        </w:rPr>
        <w:br/>
        <w:t xml:space="preserve">  #      ou, si tau_w vient d'un calcul RANS :</w:t>
      </w:r>
      <w:r>
        <w:rPr>
          <w:rFonts w:ascii="Consolas" w:cs="Consolas" w:eastAsia="Consolas" w:hAnsi="Consolas"/>
          <w:sz w:val="19"/>
          <w:szCs w:val="19"/>
        </w:rPr>
        <w:br/>
        <w:t xml:space="preserve">  # couche = CoucheLimite.depuis_cisaillement(etat, tau_w=16.58)</w:t>
      </w:r>
      <w:r>
        <w:rPr>
          <w:rFonts w:ascii="Consolas" w:cs="Consolas" w:eastAsia="Consolas" w:hAnsi="Consolas"/>
          <w:sz w:val="19"/>
          <w:szCs w:val="19"/>
        </w:rPr>
        <w:br/>
        <w:t xml:space="preserve">  </w:t>
      </w:r>
      <w:r>
        <w:rPr>
          <w:rFonts w:ascii="Consolas" w:cs="Consolas" w:eastAsia="Consolas" w:hAnsi="Consolas"/>
          <w:sz w:val="19"/>
          <w:szCs w:val="19"/>
        </w:rPr>
        <w:br/>
        <w:t xml:space="preserve">  # 3-6. la marche, puis la trainee</w:t>
      </w:r>
      <w:r>
        <w:rPr>
          <w:rFonts w:ascii="Consolas" w:cs="Consolas" w:eastAsia="Consolas" w:hAnsi="Consolas"/>
          <w:sz w:val="19"/>
          <w:szCs w:val="19"/>
        </w:rPr>
        <w:br/>
        <w:t xml:space="preserve">  marche = Asperite(MONTANTE, hauteur=1.5e-3, envergure=2.4)</w:t>
      </w:r>
      <w:r>
        <w:rPr>
          <w:rFonts w:ascii="Consolas" w:cs="Consolas" w:eastAsia="Consolas" w:hAnsi="Consolas"/>
          <w:sz w:val="19"/>
          <w:szCs w:val="19"/>
        </w:rPr>
        <w:br/>
        <w:t xml:space="preserve">  r = calculer_trainee(marche, etat, couche, surface_reference=122.6)</w:t>
      </w:r>
      <w:r>
        <w:rPr>
          <w:rFonts w:ascii="Consolas" w:cs="Consolas" w:eastAsia="Consolas" w:hAnsi="Consolas"/>
          <w:sz w:val="19"/>
          <w:szCs w:val="19"/>
        </w:rPr>
        <w:br/>
        <w:t xml:space="preserve">  </w:t>
      </w:r>
      <w:r>
        <w:rPr>
          <w:rFonts w:ascii="Consolas" w:cs="Consolas" w:eastAsia="Consolas" w:hAnsi="Consolas"/>
          <w:sz w:val="19"/>
          <w:szCs w:val="19"/>
        </w:rPr>
        <w:br/>
        <w:t xml:space="preserve">  print(r.h_plus, r.cde_sur_cfe, r.trainee, r.delta_cx)</w:t>
      </w:r>
      <w:r>
        <w:rPr>
          <w:rFonts w:ascii="Consolas" w:cs="Consolas" w:eastAsia="Consolas" w:hAnsi="Consolas"/>
          <w:sz w:val="19"/>
          <w:szCs w:val="19"/>
        </w:rPr>
        <w:br/>
        <w:t xml:space="preserve">  for message in r.avertissements:</w:t>
      </w:r>
      <w:r>
        <w:rPr>
          <w:rFonts w:ascii="Consolas" w:cs="Consolas" w:eastAsia="Consolas" w:hAnsi="Consolas"/>
          <w:sz w:val="19"/>
          <w:szCs w:val="19"/>
        </w:rPr>
        <w:br/>
        <w:t xml:space="preserve">      print('attention :', message)</w:t>
      </w:r>
    </w:p>
    <w:p>
      <w:pPr>
        <w:pStyle w:val="Heading2"/>
        <w:spacing w:after="140" w:before="280"/>
      </w:pPr>
      <w:bookmarkStart w:name="_Toc34" w:id="34"/>
      <w:r>
        <w:t xml:space="preserve">A.10.3  Fonctions principales</w:t>
      </w:r>
      <w:bookmarkEnd w:id="34"/>
    </w:p>
    <w:tbl>
      <w:tblPr>
        <w:tblW w:type="dxa" w:w="9412"/>
        <w:tblBorders>
          <w:top w:val="single" w:color="8EAADB" w:sz="4"/>
          <w:left w:val="single" w:color="8EAADB" w:sz="4"/>
          <w:bottom w:val="single" w:color="8EAADB" w:sz="4"/>
          <w:right w:val="single" w:color="8EAADB" w:sz="4"/>
          <w:insideH w:val="single" w:color="BDD6EE" w:sz="2"/>
          <w:insideV w:val="single" w:color="BDD6EE" w:sz="2"/>
        </w:tblBorders>
      </w:tblPr>
      <w:tblGrid>
        <w:gridCol w:w="4141"/>
        <w:gridCol w:w="5271"/>
      </w:tblGrid>
      <w:tr>
        <w:trPr>
          <w:cantSplit/>
          <w:tblHeader/>
        </w:trPr>
        <w:tc>
          <w:tcPr>
            <w:tcW w:type="dxa" w:w="4141"/>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Fonction</w:t>
            </w:r>
          </w:p>
        </w:tc>
        <w:tc>
          <w:tcPr>
            <w:tcW w:type="dxa" w:w="5271"/>
            <w:shd w:fill="DEEAF6" w:color="auto" w:val="clear"/>
            <w:tcMar>
              <w:top w:type="dxa" w:w="60"/>
              <w:left w:type="dxa" w:w="90"/>
              <w:bottom w:type="dxa" w:w="60"/>
              <w:right w:type="dxa" w:w="90"/>
            </w:tcMar>
            <w:vAlign w:val="center"/>
          </w:tcPr>
          <w:p>
            <w:pPr>
              <w:spacing w:after="0"/>
              <w:jc w:val="left"/>
            </w:pPr>
            <w:r>
              <w:rPr>
                <w:rFonts w:ascii="Calibri" w:cs="Calibri" w:eastAsia="Calibri" w:hAnsi="Calibri"/>
                <w:color w:val="1F4E79"/>
                <w:sz w:val="19"/>
                <w:szCs w:val="19"/>
              </w:rPr>
              <w:t xml:space="preserve">Rôle</w:t>
            </w:r>
          </w:p>
        </w:tc>
      </w:tr>
      <w:tr>
        <w:trPr>
          <w:cantSplit/>
        </w:trPr>
        <w:tc>
          <w:tcPr>
            <w:tcW w:type="dxa" w:w="41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EtatLocal.atmosphere(...)</w:t>
            </w:r>
          </w:p>
        </w:tc>
        <w:tc>
          <w:tcPr>
            <w:tcW w:type="dxa" w:w="52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conditions locales depuis une altitude et une vitesse (Mach, Vc, TAS ou EAS)</w:t>
            </w:r>
          </w:p>
        </w:tc>
      </w:tr>
      <w:tr>
        <w:trPr>
          <w:cantSplit/>
        </w:trPr>
        <w:tc>
          <w:tcPr>
            <w:tcW w:type="dxa" w:w="41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CoucheLimite.depuis_cisaillement(...)</w:t>
            </w:r>
          </w:p>
        </w:tc>
        <w:tc>
          <w:tcPr>
            <w:tcW w:type="dxa" w:w="52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couche limite depuis un τ_w mesuré ou calculé — la voie exacte</w:t>
            </w:r>
          </w:p>
        </w:tc>
      </w:tr>
      <w:tr>
        <w:trPr>
          <w:cantSplit/>
        </w:trPr>
        <w:tc>
          <w:tcPr>
            <w:tcW w:type="dxa" w:w="41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CoucheLimite.plaque_plane(...)</w:t>
            </w:r>
          </w:p>
        </w:tc>
        <w:tc>
          <w:tcPr>
            <w:tcW w:type="dxa" w:w="52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couche limite depuis la distance au bord d’attaque — avant-projet</w:t>
            </w:r>
          </w:p>
        </w:tc>
      </w:tr>
      <w:tr>
        <w:trPr>
          <w:cantSplit/>
        </w:trPr>
        <w:tc>
          <w:tcPr>
            <w:tcW w:type="dxa" w:w="41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ratio_marche_montante(h⁺, M)</w:t>
            </w:r>
          </w:p>
        </w:tc>
        <w:tc>
          <w:tcPr>
            <w:tcW w:type="dxa" w:w="52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CDe/Cfe, § A.4</w:t>
            </w:r>
          </w:p>
        </w:tc>
      </w:tr>
      <w:tr>
        <w:trPr>
          <w:cantSplit/>
        </w:trPr>
        <w:tc>
          <w:tcPr>
            <w:tcW w:type="dxa" w:w="41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ratio_marche_descendante(h⁺, M)</w:t>
            </w:r>
          </w:p>
        </w:tc>
        <w:tc>
          <w:tcPr>
            <w:tcW w:type="dxa" w:w="52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CDe/Cfe, § A.5</w:t>
            </w:r>
          </w:p>
        </w:tc>
      </w:tr>
      <w:tr>
        <w:trPr>
          <w:cantSplit/>
        </w:trPr>
        <w:tc>
          <w:tcPr>
            <w:tcW w:type="dxa" w:w="41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ratio_arete(h⁺, M, t_sur_h)</w:t>
            </w:r>
          </w:p>
        </w:tc>
        <w:tc>
          <w:tcPr>
            <w:tcW w:type="dxa" w:w="52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CDe/Cfe, § A.6</w:t>
            </w:r>
          </w:p>
        </w:tc>
      </w:tr>
      <w:tr>
        <w:trPr>
          <w:cantSplit/>
        </w:trPr>
        <w:tc>
          <w:tcPr>
            <w:tcW w:type="dxa" w:w="41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interference_arete(h⁺, M)</w:t>
            </w:r>
          </w:p>
        </w:tc>
        <w:tc>
          <w:tcPr>
            <w:tcW w:type="dxa" w:w="52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arête, somme des deux marches, et leur rapport</w:t>
            </w:r>
          </w:p>
        </w:tc>
      </w:tr>
      <w:tr>
        <w:trPr>
          <w:cantSplit/>
        </w:trPr>
        <w:tc>
          <w:tcPr>
            <w:tcW w:type="dxa" w:w="41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facteur_arrondi_montante / _descendante</w:t>
            </w:r>
          </w:p>
        </w:tc>
        <w:tc>
          <w:tcPr>
            <w:tcW w:type="dxa" w:w="52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corrections d’arrondi, § A.4.5 et A.5.4</w:t>
            </w:r>
          </w:p>
        </w:tc>
      </w:tr>
      <w:tr>
        <w:trPr>
          <w:cantSplit/>
        </w:trPr>
        <w:tc>
          <w:tcPr>
            <w:tcW w:type="dxa" w:w="41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facteur_chanfrein_montante / _descendante</w:t>
            </w:r>
          </w:p>
        </w:tc>
        <w:tc>
          <w:tcPr>
            <w:tcW w:type="dxa" w:w="52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corrections de chanfrein</w:t>
            </w:r>
          </w:p>
        </w:tc>
      </w:tr>
      <w:tr>
        <w:trPr>
          <w:cantSplit/>
        </w:trPr>
        <w:tc>
          <w:tcPr>
            <w:tcW w:type="dxa" w:w="41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facteur_derapage(α)</w:t>
            </w:r>
          </w:p>
        </w:tc>
        <w:tc>
          <w:tcPr>
            <w:tcW w:type="dxa" w:w="52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sin²α, § A.7</w:t>
            </w:r>
          </w:p>
        </w:tc>
      </w:tr>
      <w:tr>
        <w:trPr>
          <w:cantSplit/>
        </w:trPr>
        <w:tc>
          <w:tcPr>
            <w:tcW w:type="dxa" w:w="41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facteur_amplification_nash_bradshaw(...)</w:t>
            </w:r>
          </w:p>
        </w:tc>
        <w:tc>
          <w:tcPr>
            <w:tcW w:type="dxa" w:w="52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m_d, § A.8</w:t>
            </w:r>
          </w:p>
        </w:tc>
      </w:tr>
      <w:tr>
        <w:trPr>
          <w:cantSplit/>
        </w:trPr>
        <w:tc>
          <w:tcPr>
            <w:tcW w:type="dxa" w:w="41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calculer_trainee(...)</w:t>
            </w:r>
          </w:p>
        </w:tc>
        <w:tc>
          <w:tcPr>
            <w:tcW w:type="dxa" w:w="52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ΔD, ΔCx et les avertissements de domaine</w:t>
            </w:r>
          </w:p>
        </w:tc>
      </w:tr>
      <w:tr>
        <w:trPr>
          <w:cantSplit/>
        </w:trPr>
        <w:tc>
          <w:tcPr>
            <w:tcW w:type="dxa" w:w="414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tracer_extractions(rep)</w:t>
            </w:r>
          </w:p>
        </w:tc>
        <w:tc>
          <w:tcPr>
            <w:tcW w:type="dxa" w:w="5271"/>
            <w:tcMar>
              <w:top w:type="dxa" w:w="60"/>
              <w:left w:type="dxa" w:w="90"/>
              <w:bottom w:type="dxa" w:w="60"/>
              <w:right w:type="dxa" w:w="90"/>
            </w:tcMar>
            <w:vAlign w:val="center"/>
          </w:tcPr>
          <w:p>
            <w:pPr>
              <w:spacing w:after="0"/>
              <w:jc w:val="left"/>
            </w:pPr>
            <w:r>
              <w:rPr>
                <w:rFonts w:ascii="Calibri" w:cs="Calibri" w:eastAsia="Calibri" w:hAnsi="Calibri"/>
                <w:color w:val="000000"/>
                <w:sz w:val="19"/>
                <w:szCs w:val="19"/>
              </w:rPr>
              <w:t xml:space="preserve">les planches d’extraction de cette annexe</w:t>
            </w:r>
          </w:p>
        </w:tc>
      </w:tr>
    </w:tbl>
    <w:p>
      <w:pPr>
        <w:spacing w:after="160"/>
      </w:pPr>
    </w:p>
    <w:p>
      <w:pPr>
        <w:pStyle w:val="Heading1"/>
        <w:spacing w:after="140" w:before="360"/>
      </w:pPr>
      <w:bookmarkStart w:name="_Toc35" w:id="35"/>
      <w:r>
        <w:t xml:space="preserve">A.11  Références</w:t>
      </w:r>
      <w:bookmarkEnd w:id="35"/>
    </w:p>
    <w:p>
      <w:pPr>
        <w:spacing w:after="140" w:line="276"/>
        <w:jc w:val="both"/>
      </w:pPr>
      <w:r>
        <w:rPr>
          <w:rFonts w:ascii="Calibri" w:cs="Calibri" w:eastAsia="Calibri" w:hAnsi="Calibri"/>
          <w:sz w:val="21"/>
          <w:szCs w:val="21"/>
        </w:rPr>
        <w:t xml:space="preserve">[1]  </w:t>
      </w:r>
      <w:r>
        <w:rPr>
          <w:rFonts w:ascii="Calibri" w:cs="Calibri" w:eastAsia="Calibri" w:hAnsi="Calibri"/>
          <w:b w:val="false"/>
          <w:bCs w:val="false"/>
          <w:sz w:val="21"/>
          <w:szCs w:val="21"/>
        </w:rPr>
        <w:t xml:space="preserve">YOUNG A. D., PATERSON J. H.</w:t>
      </w:r>
      <w:r>
        <w:rPr>
          <w:rFonts w:ascii="Calibri" w:cs="Calibri" w:eastAsia="Calibri" w:hAnsi="Calibri"/>
          <w:i/>
          <w:iCs/>
          <w:sz w:val="21"/>
          <w:szCs w:val="21"/>
        </w:rPr>
        <w:t xml:space="preserve">  Aircraft Excrescence Drag</w:t>
      </w:r>
      <w:r>
        <w:rPr>
          <w:rFonts w:ascii="Calibri" w:cs="Calibri" w:eastAsia="Calibri" w:hAnsi="Calibri"/>
          <w:sz w:val="21"/>
          <w:szCs w:val="21"/>
        </w:rPr>
        <w:t xml:space="preserve">. AGARDograph n° 264, AGARD/OTAN, juillet 1981. ISBN 92-835-1392-4. Diffusion publique (AD-A106030). Le § 4.3 est celui utilisé ici ; le § 5.1 fournit le facteur de Nash et Bradshaw.</w:t>
      </w:r>
    </w:p>
    <w:p>
      <w:pPr>
        <w:spacing w:after="140" w:line="276"/>
        <w:jc w:val="both"/>
      </w:pPr>
      <w:r>
        <w:rPr>
          <w:rFonts w:ascii="Calibri" w:cs="Calibri" w:eastAsia="Calibri" w:hAnsi="Calibri"/>
          <w:sz w:val="21"/>
          <w:szCs w:val="21"/>
        </w:rPr>
        <w:t xml:space="preserve">[2]  </w:t>
      </w:r>
      <w:r>
        <w:rPr>
          <w:rFonts w:ascii="Calibri" w:cs="Calibri" w:eastAsia="Calibri" w:hAnsi="Calibri"/>
          <w:b w:val="false"/>
          <w:bCs w:val="false"/>
          <w:sz w:val="21"/>
          <w:szCs w:val="21"/>
        </w:rPr>
        <w:t xml:space="preserve">GAUDET L., WINTER K. G.</w:t>
      </w:r>
      <w:r>
        <w:rPr>
          <w:rFonts w:ascii="Calibri" w:cs="Calibri" w:eastAsia="Calibri" w:hAnsi="Calibri"/>
          <w:sz w:val="21"/>
          <w:szCs w:val="21"/>
        </w:rPr>
        <w:t xml:space="preserve">  Measurements of the Drag of Some Characteristic Aircraft Excrescences Immersed in Turbulent Boundary Layers. RAE, référence 4.5 du rapport [1] — source principale des Figures 4.23, 4.28 et 4.34.</w:t>
      </w:r>
    </w:p>
    <w:p>
      <w:pPr>
        <w:spacing w:after="140" w:line="276"/>
        <w:jc w:val="both"/>
      </w:pPr>
      <w:r>
        <w:rPr>
          <w:rFonts w:ascii="Calibri" w:cs="Calibri" w:eastAsia="Calibri" w:hAnsi="Calibri"/>
          <w:sz w:val="21"/>
          <w:szCs w:val="21"/>
        </w:rPr>
        <w:t xml:space="preserve">[3]  </w:t>
      </w:r>
      <w:r>
        <w:rPr>
          <w:rFonts w:ascii="Calibri" w:cs="Calibri" w:eastAsia="Calibri" w:hAnsi="Calibri"/>
          <w:b w:val="false"/>
          <w:bCs w:val="false"/>
          <w:sz w:val="21"/>
          <w:szCs w:val="21"/>
        </w:rPr>
        <w:t xml:space="preserve">PALLISTER K. C.</w:t>
      </w:r>
      <w:r>
        <w:rPr>
          <w:rFonts w:ascii="Calibri" w:cs="Calibri" w:eastAsia="Calibri" w:hAnsi="Calibri"/>
          <w:sz w:val="21"/>
          <w:szCs w:val="21"/>
        </w:rPr>
        <w:t xml:space="preserve">  Référence 4.15 du rapport [1] — essais ARA dans le domaine transsonique, source des facteurs PC₁, PC₂ et PC₃.</w:t>
      </w:r>
    </w:p>
    <w:p>
      <w:pPr>
        <w:spacing w:after="140" w:line="276"/>
        <w:jc w:val="both"/>
      </w:pPr>
      <w:r>
        <w:rPr>
          <w:rFonts w:ascii="Calibri" w:cs="Calibri" w:eastAsia="Calibri" w:hAnsi="Calibri"/>
          <w:sz w:val="21"/>
          <w:szCs w:val="21"/>
        </w:rPr>
        <w:t xml:space="preserve">[4]  </w:t>
      </w:r>
      <w:r>
        <w:rPr>
          <w:rFonts w:ascii="Calibri" w:cs="Calibri" w:eastAsia="Calibri" w:hAnsi="Calibri"/>
          <w:b w:val="false"/>
          <w:bCs w:val="false"/>
          <w:sz w:val="21"/>
          <w:szCs w:val="21"/>
        </w:rPr>
        <w:t xml:space="preserve">NASH J. F., BRADSHAW P.</w:t>
      </w:r>
      <w:r>
        <w:rPr>
          <w:rFonts w:ascii="Calibri" w:cs="Calibri" w:eastAsia="Calibri" w:hAnsi="Calibri"/>
          <w:sz w:val="21"/>
          <w:szCs w:val="21"/>
        </w:rPr>
        <w:t xml:space="preserve">  The magnification of roughness drag by pressure gradients. Journal of the Royal Aeronautical Society, 1967. Référence 5.2 du rapport [1].</w:t>
      </w:r>
    </w:p>
    <w:p>
      <w:pPr>
        <w:pStyle w:val="Heading2"/>
        <w:spacing w:after="140" w:before="280"/>
      </w:pPr>
      <w:bookmarkStart w:name="_Toc36" w:id="36"/>
      <w:r>
        <w:t xml:space="preserve">Ce que cette annexe ne couvre pas</w:t>
      </w:r>
      <w:bookmarkEnd w:id="36"/>
    </w:p>
    <w:p>
      <w:pPr>
        <w:spacing w:after="140" w:line="276"/>
        <w:jc w:val="both"/>
      </w:pPr>
      <w:r>
        <w:rPr>
          <w:rFonts w:ascii="Calibri" w:cs="Calibri" w:eastAsia="Calibri" w:hAnsi="Calibri"/>
          <w:sz w:val="21"/>
          <w:szCs w:val="21"/>
        </w:rPr>
        <w:t xml:space="preserve">Le rapport [1] va bien au-delà des marches et des arêtes. Les sujets suivants relèvent d’autres paragraphes et ne sont pas traités ici :</w:t>
      </w:r>
    </w:p>
    <w:p>
      <w:pPr>
        <w:pStyle w:val="ListParagraph"/>
        <w:numPr>
          <w:ilvl w:val="0"/>
          <w:numId w:val="2"/>
        </w:numPr>
        <w:spacing w:after="90" w:line="276"/>
        <w:jc w:val="both"/>
      </w:pPr>
      <w:r>
        <w:rPr>
          <w:rFonts w:ascii="Calibri" w:cs="Calibri" w:eastAsia="Calibri" w:hAnsi="Calibri"/>
          <w:sz w:val="21"/>
          <w:szCs w:val="21"/>
        </w:rPr>
        <w:t xml:space="preserve">rivets, vis, cylindres, trous, antennes — § 4.2 ;</w:t>
      </w:r>
    </w:p>
    <w:p>
      <w:pPr>
        <w:pStyle w:val="ListParagraph"/>
        <w:numPr>
          <w:ilvl w:val="0"/>
          <w:numId w:val="2"/>
        </w:numPr>
        <w:spacing w:after="90" w:line="276"/>
        <w:jc w:val="both"/>
      </w:pPr>
      <w:r>
        <w:rPr>
          <w:rFonts w:ascii="Calibri" w:cs="Calibri" w:eastAsia="Calibri" w:hAnsi="Calibri"/>
          <w:sz w:val="21"/>
          <w:szCs w:val="21"/>
        </w:rPr>
        <w:t xml:space="preserve">jeux et rainures — § 4.3.3 ; ondulations de surface — § 4.3.4 ;</w:t>
      </w:r>
    </w:p>
    <w:p>
      <w:pPr>
        <w:pStyle w:val="ListParagraph"/>
        <w:numPr>
          <w:ilvl w:val="0"/>
          <w:numId w:val="2"/>
        </w:numPr>
        <w:spacing w:after="90" w:line="276"/>
        <w:jc w:val="both"/>
      </w:pPr>
      <w:r>
        <w:rPr>
          <w:rFonts w:ascii="Calibri" w:cs="Calibri" w:eastAsia="Calibri" w:hAnsi="Calibri"/>
          <w:sz w:val="21"/>
          <w:szCs w:val="21"/>
        </w:rPr>
        <w:t xml:space="preserve">rugosité distribuée et grain de sable équivalent — § 3 et § 5.5 ;</w:t>
      </w:r>
    </w:p>
    <w:p>
      <w:pPr>
        <w:pStyle w:val="ListParagraph"/>
        <w:numPr>
          <w:ilvl w:val="0"/>
          <w:numId w:val="2"/>
        </w:numPr>
        <w:spacing w:after="90" w:line="276"/>
        <w:jc w:val="both"/>
      </w:pPr>
      <w:r>
        <w:rPr>
          <w:rFonts w:ascii="Calibri" w:cs="Calibri" w:eastAsia="Calibri" w:hAnsi="Calibri"/>
          <w:sz w:val="21"/>
          <w:szCs w:val="21"/>
        </w:rPr>
        <w:t xml:space="preserve">transition déclenchée par l’aspérité (hauteurs critiques) — § 2.2 ;</w:t>
      </w:r>
    </w:p>
    <w:p>
      <w:pPr>
        <w:pStyle w:val="ListParagraph"/>
        <w:numPr>
          <w:ilvl w:val="0"/>
          <w:numId w:val="2"/>
        </w:numPr>
        <w:spacing w:after="90" w:line="276"/>
        <w:jc w:val="both"/>
      </w:pPr>
      <w:r>
        <w:rPr>
          <w:rFonts w:ascii="Calibri" w:cs="Calibri" w:eastAsia="Calibri" w:hAnsi="Calibri"/>
          <w:sz w:val="21"/>
          <w:szCs w:val="21"/>
        </w:rPr>
        <w:t xml:space="preserve">effet sur le CL maximal — § 5.3 ;</w:t>
      </w:r>
    </w:p>
    <w:p>
      <w:pPr>
        <w:pStyle w:val="ListParagraph"/>
        <w:numPr>
          <w:ilvl w:val="0"/>
          <w:numId w:val="2"/>
        </w:numPr>
        <w:spacing w:after="90" w:line="276"/>
        <w:jc w:val="both"/>
      </w:pPr>
      <w:r>
        <w:rPr>
          <w:rFonts w:ascii="Calibri" w:cs="Calibri" w:eastAsia="Calibri" w:hAnsi="Calibri"/>
          <w:sz w:val="21"/>
          <w:szCs w:val="21"/>
        </w:rPr>
        <w:t xml:space="preserve">entrées et sorties d’air auxiliaires, fuites — § 6 ;</w:t>
      </w:r>
    </w:p>
    <w:p>
      <w:pPr>
        <w:pStyle w:val="ListParagraph"/>
        <w:numPr>
          <w:ilvl w:val="0"/>
          <w:numId w:val="2"/>
        </w:numPr>
        <w:spacing w:after="90" w:line="276"/>
        <w:jc w:val="both"/>
      </w:pPr>
      <w:r>
        <w:rPr>
          <w:rFonts w:ascii="Calibri" w:cs="Calibri" w:eastAsia="Calibri" w:hAnsi="Calibri"/>
          <w:sz w:val="21"/>
          <w:szCs w:val="21"/>
        </w:rPr>
        <w:t xml:space="preserve">arêtes arrondies ou chanfreinées, Figures 4.41 à 4.44 — § 4.3.2.2.</w:t>
      </w:r>
    </w:p>
    <w:p>
      <w:pPr>
        <w:spacing w:after="140" w:line="276"/>
        <w:jc w:val="both"/>
      </w:pPr>
      <w:r>
        <w:rPr>
          <w:rFonts w:ascii="Calibri" w:cs="Calibri" w:eastAsia="Calibri" w:hAnsi="Calibri"/>
          <w:sz w:val="21"/>
          <w:szCs w:val="21"/>
        </w:rPr>
        <w:t xml:space="preserve">Un point mérite une mise en garde particulière : les arêtes multiples en série (§ 4.3.2.4). Plusieurs arêtes rapprochées ne s’additionnent pas. La Figure 4.46 du rapport montre un espacement critique, vers s ≈ 10 h, où la traînée totale passe par un maximum. Sommer les contributions individuelles de joints régulièrement espacés est optimiste dans cette zone.</w:t>
      </w:r>
    </w:p>
    <w:sectPr>
      <w:footerReference w:type="default" r:id="rId6"/>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Annexe — Traînée des aspérités de surface   ·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val="false"/>
      <w:bCs w:val="false"/>
      <w:color w:val="1F4E79"/>
      <w:sz w:val="30"/>
      <w:szCs w:val="30"/>
    </w:rPr>
  </w:style>
  <w:style w:type="paragraph" w:styleId="Heading2">
    <w:name w:val="Heading 2"/>
    <w:basedOn w:val="Normal"/>
    <w:next w:val="Normal"/>
    <w:qFormat/>
    <w:pPr>
      <w:spacing w:after="120" w:before="280"/>
    </w:pPr>
    <w:rPr>
      <w:rFonts w:ascii="Calibri" w:cs="Calibri" w:eastAsia="Calibri" w:hAnsi="Calibri"/>
      <w:b w:val="false"/>
      <w:bCs w:val="false"/>
      <w:color w:val="1F4E79"/>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ab4c3ee443f0ab9ba6fa2a7903b23a078dfe390.png"/><Relationship Id="rId9" Type="http://schemas.openxmlformats.org/officeDocument/2006/relationships/image" Target="media/c5e0c144555a77007a4b1646c8ff40f7e4836498.png"/><Relationship Id="rId10" Type="http://schemas.openxmlformats.org/officeDocument/2006/relationships/image" Target="media/48c9dc3a377a702ece1662903699370b2cbccc10.png"/><Relationship Id="rId11" Type="http://schemas.openxmlformats.org/officeDocument/2006/relationships/image" Target="media/5f2730990fb90c58d13c53c28d6483ac5e998c6b.png"/><Relationship Id="rId12" Type="http://schemas.openxmlformats.org/officeDocument/2006/relationships/image" Target="media/f3084daacc5d550f5cf58e4cb0a49d7ed8c752cd.png"/><Relationship Id="rId13" Type="http://schemas.openxmlformats.org/officeDocument/2006/relationships/image" Target="media/ca6964cce600b7bc56d029da3459d48bd580ce7b.png"/><Relationship Id="rId14" Type="http://schemas.openxmlformats.org/officeDocument/2006/relationships/image" Target="media/d74f154e82b69e3246182fd41b480456639b0a8c.png"/><Relationship Id="rId15" Type="http://schemas.openxmlformats.org/officeDocument/2006/relationships/image" Target="media/60c2c8a39718c6da2e98083e946baee8adfc8b86.png"/><Relationship Id="rId16" Type="http://schemas.openxmlformats.org/officeDocument/2006/relationships/image" Target="media/68039570c11302ab7d56650623d55891402d3907.png"/><Relationship Id="rId17" Type="http://schemas.openxmlformats.org/officeDocument/2006/relationships/image" Target="media/039159667bd965da73a2ec7e3e2adbd60d4e63d0.png"/><Relationship Id="rId18" Type="http://schemas.openxmlformats.org/officeDocument/2006/relationships/image" Target="media/43696f0f4402b9460ded65ae1faedb3f7f3a48b2.png"/><Relationship Id="rId19" Type="http://schemas.openxmlformats.org/officeDocument/2006/relationships/image" Target="media/c7609a2727b23ad1231f8346366c337e00484efe.png"/><Relationship Id="rId20" Type="http://schemas.openxmlformats.org/officeDocument/2006/relationships/image" Target="media/e4f5866191fdd22ec3d3461d53ef2e46e1b0184d.png"/><Relationship Id="rId21" Type="http://schemas.openxmlformats.org/officeDocument/2006/relationships/image" Target="media/0c2397b198a76ecd99426422ab2f99e12ab594b1.png"/><Relationship Id="rId22" Type="http://schemas.openxmlformats.org/officeDocument/2006/relationships/image" Target="media/f4eab7f34233d8f37758ab07aa7b82a3ecae8688.png"/><Relationship Id="rId23" Type="http://schemas.openxmlformats.org/officeDocument/2006/relationships/image" Target="media/b81c3e2172a3939c7e2377135306bdbb51351e2b.png"/><Relationship Id="rId24" Type="http://schemas.openxmlformats.org/officeDocument/2006/relationships/image" Target="media/f60392d16d48624b17dcb136a779484e3da73d13.png"/><Relationship Id="rId25" Type="http://schemas.openxmlformats.org/officeDocument/2006/relationships/image" Target="media/6d7b45b5e3b0249936d852cc2e4c7625d54368cf.png"/><Relationship Id="rId26" Type="http://schemas.openxmlformats.org/officeDocument/2006/relationships/image" Target="media/82cbdadb631f945fd7f805f4ea377f065dba4bd5.png"/><Relationship Id="rId27" Type="http://schemas.openxmlformats.org/officeDocument/2006/relationships/image" Target="media/e7440afb9871352ff2b6e1a08a0c69b95f7eb6b0.png"/><Relationship Id="rId28" Type="http://schemas.openxmlformats.org/officeDocument/2006/relationships/image" Target="media/1676038de389bc0f6c75e3cc6a535f4614f3422f.png"/><Relationship Id="rId29" Type="http://schemas.openxmlformats.org/officeDocument/2006/relationships/image" Target="media/69e534b97dcfa77a6daf58776fb613b00acbb720.png"/><Relationship Id="rId30" Type="http://schemas.openxmlformats.org/officeDocument/2006/relationships/image" Target="media/fcf977cf9bcf55225dca2f9155bcb5025f88551f.png"/><Relationship Id="rId31" Type="http://schemas.openxmlformats.org/officeDocument/2006/relationships/image" Target="media/8a61ae50ab184938d589c9ede48a86c355a65b7a.png"/><Relationship Id="rId32" Type="http://schemas.openxmlformats.org/officeDocument/2006/relationships/image" Target="media/ee295fab8d3e17d93daf31ea145896faf366e00a.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Annexe — Traînée des aspérités de surface</dc:title>
  <dc:creator>cfd-aq</dc:creator>
  <dc:description>Marche montante, marche descendante et arête, d'après AGARD-AG-264 § 4.3</dc:description>
  <cp:lastModifiedBy>Un-named</cp:lastModifiedBy>
  <cp:revision>1</cp:revision>
  <dcterms:created xsi:type="dcterms:W3CDTF">2026-10-25T21:27:45.186Z</dcterms:created>
  <dcterms:modified xsi:type="dcterms:W3CDTF">2026-10-25T21:27:45.186Z</dcterms:modified>
</cp:coreProperties>
</file>

<file path=docProps/custom.xml><?xml version="1.0" encoding="utf-8"?>
<Properties xmlns="http://schemas.openxmlformats.org/officeDocument/2006/custom-properties" xmlns:vt="http://schemas.openxmlformats.org/officeDocument/2006/docPropsVTypes"/>
</file>