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Dimensionner</w:t>
      </w:r>
      <w:r>
        <w:t xml:space="preserve"> </w:t>
      </w:r>
      <w:r>
        <w:t xml:space="preserve">un</w:t>
      </w:r>
      <w:r>
        <w:t xml:space="preserve"> </w:t>
      </w:r>
      <w:r>
        <w:t xml:space="preserve">calcul</w:t>
      </w:r>
      <w:r>
        <w:t xml:space="preserve"> </w:t>
      </w:r>
      <w:r>
        <w:t xml:space="preserve">CFD</w:t>
      </w:r>
      <w:r>
        <w:t xml:space="preserve"> </w:t>
      </w:r>
      <w:r>
        <w:t xml:space="preserve">parallèle</w:t>
      </w:r>
    </w:p>
    <w:p>
      <w:pPr>
        <w:pStyle w:val="Subtitle"/>
      </w:pPr>
      <w:r>
        <w:t xml:space="preserve">cfd-perf</w:t>
      </w:r>
      <w:r>
        <w:t xml:space="preserve"> </w:t>
      </w:r>
      <w:r>
        <w:t xml:space="preserve">—</w:t>
      </w:r>
      <w:r>
        <w:t xml:space="preserve"> </w:t>
      </w:r>
      <w:r>
        <w:t xml:space="preserve">document</w:t>
      </w:r>
      <w:r>
        <w:t xml:space="preserve"> </w:t>
      </w:r>
      <w:r>
        <w:t xml:space="preserve">de</w:t>
      </w:r>
      <w:r>
        <w:t xml:space="preserve"> </w:t>
      </w:r>
      <w:r>
        <w:t xml:space="preserve">transmission</w:t>
      </w:r>
      <w:r>
        <w:t xml:space="preserve"> </w:t>
      </w:r>
      <w:r>
        <w:t xml:space="preserve">de</w:t>
      </w:r>
      <w:r>
        <w:t xml:space="preserve"> </w:t>
      </w:r>
      <w:r>
        <w:t xml:space="preserve">connaissance</w:t>
      </w:r>
    </w:p>
    <w:p>
      <w:pPr>
        <w:pStyle w:val="Date"/>
      </w:pPr>
      <w:r>
        <w:t xml:space="preserve">5</w:t>
      </w:r>
      <w:r>
        <w:t xml:space="preserve"> </w:t>
      </w:r>
      <w:r>
        <w:t xml:space="preserve">août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la-problématique"/>
    <w:p>
      <w:pPr>
        <w:pStyle w:val="Heading1"/>
      </w:pPr>
      <w:r>
        <w:t xml:space="preserve">1. La problématique</w:t>
      </w:r>
    </w:p>
    <w:p>
      <w:pPr>
        <w:pStyle w:val="FirstParagraph"/>
      </w:pPr>
      <w:r>
        <w:t xml:space="preserve">Avant chaque calcul RANS stationnaire revient la même question, banale et mal</w:t>
      </w:r>
      <w:r>
        <w:t xml:space="preserve"> </w:t>
      </w:r>
      <w:r>
        <w:t xml:space="preserve">outillée :</w:t>
      </w:r>
      <w:r>
        <w:t xml:space="preserve"> </w:t>
      </w:r>
      <w:r>
        <w:rPr>
          <w:bCs/>
          <w:b/>
        </w:rPr>
        <w:t xml:space="preserve">sur combien de cœurs le lancer ?</w:t>
      </w:r>
      <w:r>
        <w:t xml:space="preserve"> </w:t>
      </w:r>
      <w:r>
        <w:t xml:space="preserve">On y répond aujourd’hui à</w:t>
      </w:r>
      <w:r>
        <w:t xml:space="preserve"> </w:t>
      </w:r>
      <w:r>
        <w:t xml:space="preserve">l’habitude, en recopiant le calcul précédent. Trop peu de cœurs immobilise une</w:t>
      </w:r>
      <w:r>
        <w:t xml:space="preserve"> </w:t>
      </w:r>
      <w:r>
        <w:t xml:space="preserve">file d’attente pendant des jours ; trop de cœurs coûte deux fois plus cher pour</w:t>
      </w:r>
      <w:r>
        <w:t xml:space="preserve"> </w:t>
      </w:r>
      <w:r>
        <w:t xml:space="preserve">un calcul</w:t>
      </w:r>
      <w:r>
        <w:t xml:space="preserve"> </w:t>
      </w:r>
      <w:r>
        <w:rPr>
          <w:iCs/>
          <w:i/>
        </w:rPr>
        <w:t xml:space="preserve">plus lent</w:t>
      </w:r>
      <w:r>
        <w:t xml:space="preserve">, les échanges MPI finissant par peser davantage que le</w:t>
      </w:r>
      <w:r>
        <w:t xml:space="preserve"> </w:t>
      </w:r>
      <w:r>
        <w:t xml:space="preserve">travail qu’ils distribuent. Ce document transmet la méthode retenue pour</w:t>
      </w:r>
      <w:r>
        <w:t xml:space="preserve"> </w:t>
      </w:r>
      <w:r>
        <w:t xml:space="preserve">répondre par la mesure, l’outil qui l’automatise (</w:t>
      </w:r>
      <w:r>
        <w:rPr>
          <w:rStyle w:val="VerbatimChar"/>
        </w:rPr>
        <w:t xml:space="preserve">cfd-perf</w:t>
      </w:r>
      <w:r>
        <w:t xml:space="preserve">), et les limites à</w:t>
      </w:r>
      <w:r>
        <w:t xml:space="preserve"> </w:t>
      </w:r>
      <w:r>
        <w:t xml:space="preserve">connaître avant de s’appuyer dessus.</w:t>
      </w:r>
    </w:p>
    <w:p>
      <w:pPr>
        <w:pStyle w:val="CaptionedFigure"/>
      </w:pPr>
      <w:r>
        <w:drawing>
          <wp:inline>
            <wp:extent cx="5976000" cy="2374247"/>
            <wp:effectExtent b="0" l="0" r="0" t="0"/>
            <wp:docPr descr="Figure 1 — Le comportement que l’on cherche à situer. À gauche, l’accélération décroche de la droite idéale ; à droite, l’efficacité chute et la part d’allocation gaspillée (en orange) devient majoritaire. Le point de retournement est la borne physique au-delà de laquelle ajouter des cœurs rallonge le calcul." title="" id="21" name="Picture"/>
            <a:graphic>
              <a:graphicData uri="http://schemas.openxmlformats.org/drawingml/2006/picture">
                <pic:pic>
                  <pic:nvPicPr>
                    <pic:cNvPr descr="../FIGURES/05_scalabilite_forte.png" id="22" name="Picture"/>
                    <pic:cNvPicPr>
                      <a:picLocks noChangeArrowheads="1" noChangeAspect="1"/>
                    </pic:cNvPicPr>
                  </pic:nvPicPr>
                  <pic:blipFill>
                    <a:blip r:embed="rId20"/>
                    <a:stretch>
                      <a:fillRect/>
                    </a:stretch>
                  </pic:blipFill>
                  <pic:spPr bwMode="auto">
                    <a:xfrm>
                      <a:off x="0" y="0"/>
                      <a:ext cx="5976000" cy="2374247"/>
                    </a:xfrm>
                    <a:prstGeom prst="rect">
                      <a:avLst/>
                    </a:prstGeom>
                    <a:noFill/>
                    <a:ln w="9525">
                      <a:noFill/>
                      <a:headEnd/>
                      <a:tailEnd/>
                    </a:ln>
                  </pic:spPr>
                </pic:pic>
              </a:graphicData>
            </a:graphic>
          </wp:inline>
        </w:drawing>
      </w:r>
    </w:p>
    <w:p>
      <w:pPr>
        <w:pStyle w:val="ImageCaption"/>
      </w:pPr>
      <w:r>
        <w:t xml:space="preserve">Figure 1 — Le comportement que l’on cherche à situer. À gauche, l’accélération décroche de la droite idéale ; à droite, l’efficacité chute et la part d’allocation gaspillée (en orange) devient majoritaire. Le point de retournement est la borne physique au-delà de laquelle ajouter des cœurs rallonge le calcul.</w:t>
      </w:r>
    </w:p>
    <w:p>
      <w:r>
        <w:br w:type="page"/>
      </w:r>
    </w:p>
    <w:bookmarkEnd w:id="23"/>
    <w:bookmarkStart w:id="59" w:name="traitement-du-problème"/>
    <w:p>
      <w:pPr>
        <w:pStyle w:val="Heading1"/>
      </w:pPr>
      <w:r>
        <w:t xml:space="preserve">2. Traitement du problème</w:t>
      </w:r>
    </w:p>
    <w:bookmarkStart w:id="27" w:name="ce-qui-entre-ce-qui-sort"/>
    <w:p>
      <w:pPr>
        <w:pStyle w:val="Heading2"/>
      </w:pPr>
      <w:r>
        <w:t xml:space="preserve">2.1 Ce qui entre, ce qui sort</w:t>
      </w:r>
    </w:p>
    <w:p>
      <w:pPr>
        <w:pStyle w:val="FirstParagraph"/>
      </w:pPr>
      <w:r>
        <w:t xml:space="preserve">La chaîne est volontairement étroite :</w:t>
      </w:r>
      <w:r>
        <w:t xml:space="preserve"> </w:t>
      </w:r>
      <w:r>
        <w:rPr>
          <w:bCs/>
          <w:b/>
        </w:rPr>
        <w:t xml:space="preserve">une seule donnée réelle en entrée</w:t>
      </w:r>
      <w:r>
        <w:t xml:space="preserve">, les</w:t>
      </w:r>
      <w:r>
        <w:t xml:space="preserve"> </w:t>
      </w:r>
      <w:r>
        <w:t xml:space="preserve">mesures d’une petite campagne pilote. Tout le reste — modèle, contraintes,</w:t>
      </w:r>
      <w:r>
        <w:t xml:space="preserve"> </w:t>
      </w:r>
      <w:r>
        <w:t xml:space="preserve">stratégie — n’est que de l’exploitation de ces quelques points.</w:t>
      </w:r>
    </w:p>
    <w:p>
      <w:pPr>
        <w:pStyle w:val="CaptionedFigure"/>
      </w:pPr>
      <w:r>
        <w:drawing>
          <wp:inline>
            <wp:extent cx="5976000" cy="3289719"/>
            <wp:effectExtent b="0" l="0" r="0" t="0"/>
            <wp:docPr descr="Figure 2 — Vue d’ensemble des entrées, du traitement et des sorties." title="" id="25" name="Picture"/>
            <a:graphic>
              <a:graphicData uri="http://schemas.openxmlformats.org/drawingml/2006/picture">
                <pic:pic>
                  <pic:nvPicPr>
                    <pic:cNvPr descr="../FIGURES/06_entrees_sorties.png" id="26" name="Picture"/>
                    <pic:cNvPicPr>
                      <a:picLocks noChangeArrowheads="1" noChangeAspect="1"/>
                    </pic:cNvPicPr>
                  </pic:nvPicPr>
                  <pic:blipFill>
                    <a:blip r:embed="rId24"/>
                    <a:stretch>
                      <a:fillRect/>
                    </a:stretch>
                  </pic:blipFill>
                  <pic:spPr bwMode="auto">
                    <a:xfrm>
                      <a:off x="0" y="0"/>
                      <a:ext cx="5976000" cy="3289719"/>
                    </a:xfrm>
                    <a:prstGeom prst="rect">
                      <a:avLst/>
                    </a:prstGeom>
                    <a:noFill/>
                    <a:ln w="9525">
                      <a:noFill/>
                      <a:headEnd/>
                      <a:tailEnd/>
                    </a:ln>
                  </pic:spPr>
                </pic:pic>
              </a:graphicData>
            </a:graphic>
          </wp:inline>
        </w:drawing>
      </w:r>
    </w:p>
    <w:p>
      <w:pPr>
        <w:pStyle w:val="ImageCaption"/>
      </w:pPr>
      <w:r>
        <w:t xml:space="preserve">Figure 2 — Vue d’ensemble des entrées, du traitement et des sorties.</w:t>
      </w:r>
    </w:p>
    <w:tbl>
      <w:tblPr>
        <w:tblStyle w:val="Table"/>
        <w:tblW w:type="pct" w:w="5000"/>
        <w:tblLayout w:type="fixed"/>
        <w:tblLook w:firstRow="1" w:lastRow="0" w:firstColumn="0" w:lastColumn="0" w:noHBand="0" w:noVBand="0" w:val="0020"/>
        <w:jc w:val="start"/>
      </w:tblPr>
      <w:tblGrid>
        <w:gridCol w:w="2895"/>
        <w:gridCol w:w="3620"/>
        <w:gridCol w:w="2895"/>
      </w:tblGrid>
      <w:tr>
        <w:trPr>
          <w:tblHeader w:val="true"/>
        </w:trPr>
        <w:tc>
          <w:tcPr>
            <w:tcW w:type="dxa" w:w="2895"/>
          </w:tcPr>
          <w:p>
            <w:pPr>
              <w:pStyle w:val="Compact"/>
              <w:jc w:val="left"/>
            </w:pPr>
            <w:r>
              <w:t xml:space="preserve">Entrée</w:t>
            </w:r>
          </w:p>
        </w:tc>
        <w:tc>
          <w:tcPr>
            <w:tcW w:type="dxa" w:w="3620"/>
          </w:tcPr>
          <w:p>
            <w:pPr>
              <w:pStyle w:val="Compact"/>
              <w:jc w:val="center"/>
            </w:pPr>
            <w:r>
              <w:t xml:space="preserve">Obligatoire</w:t>
            </w:r>
          </w:p>
        </w:tc>
        <w:tc>
          <w:tcPr>
            <w:tcW w:type="dxa" w:w="2895"/>
          </w:tcPr>
          <w:p>
            <w:pPr>
              <w:pStyle w:val="Compact"/>
              <w:jc w:val="left"/>
            </w:pPr>
            <w:r>
              <w:t xml:space="preserve">D’où elle vient</w:t>
            </w:r>
          </w:p>
        </w:tc>
      </w:tr>
      <w:tr>
        <w:tc>
          <w:tcPr>
            <w:tcW w:type="dxa" w:w="2895"/>
          </w:tcPr>
          <w:p>
            <w:pPr>
              <w:pStyle w:val="Compact"/>
              <w:jc w:val="left"/>
            </w:pPr>
            <w:r>
              <w:t xml:space="preserve">Cas prêt à lancer (maillage, conditions, réglages solveur)</w:t>
            </w:r>
          </w:p>
        </w:tc>
        <w:tc>
          <w:tcPr>
            <w:tcW w:type="dxa" w:w="3620"/>
          </w:tcPr>
          <w:p>
            <w:pPr>
              <w:pStyle w:val="Compact"/>
              <w:jc w:val="center"/>
            </w:pPr>
            <w:r>
              <w:t xml:space="preserve">oui</w:t>
            </w:r>
          </w:p>
        </w:tc>
        <w:tc>
          <w:tcPr>
            <w:tcW w:type="dxa" w:w="2895"/>
          </w:tcPr>
          <w:p>
            <w:pPr>
              <w:pStyle w:val="Compact"/>
              <w:jc w:val="left"/>
            </w:pPr>
            <w:r>
              <w:t xml:space="preserve">l’étude en cours</w:t>
            </w:r>
          </w:p>
        </w:tc>
      </w:tr>
      <w:tr>
        <w:tc>
          <w:tcPr>
            <w:tcW w:type="dxa" w:w="2895"/>
          </w:tcPr>
          <w:p>
            <w:pPr>
              <w:pStyle w:val="Compact"/>
              <w:jc w:val="left"/>
            </w:pPr>
            <w:r>
              <w:t xml:space="preserve">Mesures pilotes : cœurs, temps/itération, RAM crête totale</w:t>
            </w:r>
          </w:p>
        </w:tc>
        <w:tc>
          <w:tcPr>
            <w:tcW w:type="dxa" w:w="3620"/>
          </w:tcPr>
          <w:p>
            <w:pPr>
              <w:pStyle w:val="Compact"/>
              <w:jc w:val="center"/>
            </w:pPr>
            <w:r>
              <w:t xml:space="preserve">oui</w:t>
            </w:r>
          </w:p>
        </w:tc>
        <w:tc>
          <w:tcPr>
            <w:tcW w:type="dxa" w:w="2895"/>
          </w:tcPr>
          <w:p>
            <w:pPr>
              <w:pStyle w:val="Compact"/>
              <w:jc w:val="left"/>
            </w:pPr>
            <w:r>
              <w:t xml:space="preserve">campagne pilote (étapes 1-2)</w:t>
            </w:r>
          </w:p>
        </w:tc>
      </w:tr>
      <w:tr>
        <w:tc>
          <w:tcPr>
            <w:tcW w:type="dxa" w:w="2895"/>
          </w:tcPr>
          <w:p>
            <w:pPr>
              <w:pStyle w:val="Compact"/>
              <w:jc w:val="left"/>
            </w:pPr>
            <w:r>
              <w:t xml:space="preserve">Nombre de mailles</w:t>
            </w:r>
          </w:p>
        </w:tc>
        <w:tc>
          <w:tcPr>
            <w:tcW w:type="dxa" w:w="3620"/>
          </w:tcPr>
          <w:p>
            <w:pPr>
              <w:pStyle w:val="Compact"/>
              <w:jc w:val="center"/>
            </w:pPr>
            <w:r>
              <w:t xml:space="preserve">oui</w:t>
            </w:r>
          </w:p>
        </w:tc>
        <w:tc>
          <w:tcPr>
            <w:tcW w:type="dxa" w:w="2895"/>
          </w:tcPr>
          <w:p>
            <w:pPr>
              <w:pStyle w:val="Compact"/>
              <w:jc w:val="left"/>
            </w:pPr>
            <w:r>
              <w:t xml:space="preserve">l’adaptateur solveur, ou saisi</w:t>
            </w:r>
          </w:p>
        </w:tc>
      </w:tr>
      <w:tr>
        <w:tc>
          <w:tcPr>
            <w:tcW w:type="dxa" w:w="2895"/>
          </w:tcPr>
          <w:p>
            <w:pPr>
              <w:pStyle w:val="Compact"/>
              <w:jc w:val="left"/>
            </w:pPr>
            <w:r>
              <w:t xml:space="preserve">Nombre d’itérations de production</w:t>
            </w:r>
          </w:p>
        </w:tc>
        <w:tc>
          <w:tcPr>
            <w:tcW w:type="dxa" w:w="3620"/>
          </w:tcPr>
          <w:p>
            <w:pPr>
              <w:pStyle w:val="Compact"/>
              <w:jc w:val="center"/>
            </w:pPr>
            <w:r>
              <w:t xml:space="preserve">oui</w:t>
            </w:r>
          </w:p>
        </w:tc>
        <w:tc>
          <w:tcPr>
            <w:tcW w:type="dxa" w:w="2895"/>
          </w:tcPr>
          <w:p>
            <w:pPr>
              <w:pStyle w:val="Compact"/>
              <w:jc w:val="left"/>
            </w:pPr>
            <w:r>
              <w:t xml:space="preserve">expérience d’un cas comparable</w:t>
            </w:r>
          </w:p>
        </w:tc>
      </w:tr>
      <w:tr>
        <w:tc>
          <w:tcPr>
            <w:tcW w:type="dxa" w:w="2895"/>
          </w:tcPr>
          <w:p>
            <w:pPr>
              <w:pStyle w:val="Compact"/>
              <w:jc w:val="left"/>
            </w:pPr>
            <w:r>
              <w:t xml:space="preserve">Machine : cœurs/nœud, RAM/nœud, nœuds max, walltime max</w:t>
            </w:r>
          </w:p>
        </w:tc>
        <w:tc>
          <w:tcPr>
            <w:tcW w:type="dxa" w:w="3620"/>
          </w:tcPr>
          <w:p>
            <w:pPr>
              <w:pStyle w:val="Compact"/>
              <w:jc w:val="center"/>
            </w:pPr>
            <w:r>
              <w:t xml:space="preserve">non</w:t>
            </w:r>
          </w:p>
        </w:tc>
        <w:tc>
          <w:tcPr>
            <w:tcW w:type="dxa" w:w="2895"/>
          </w:tcPr>
          <w:p>
            <w:pPr>
              <w:pStyle w:val="Compact"/>
              <w:jc w:val="left"/>
            </w:pPr>
            <w:r>
              <w:t xml:space="preserve">détection automatique, sinon</w:t>
            </w:r>
            <w:r>
              <w:t xml:space="preserve"> </w:t>
            </w:r>
            <w:r>
              <w:rPr>
                <w:rStyle w:val="VerbatimChar"/>
              </w:rPr>
              <w:t xml:space="preserve">hotes.yaml</w:t>
            </w:r>
          </w:p>
        </w:tc>
      </w:tr>
      <w:tr>
        <w:tc>
          <w:tcPr>
            <w:tcW w:type="dxa" w:w="2895"/>
          </w:tcPr>
          <w:p>
            <w:pPr>
              <w:pStyle w:val="Compact"/>
              <w:jc w:val="left"/>
            </w:pPr>
            <w:r>
              <w:t xml:space="preserve">Contraintes et objectif</w:t>
            </w:r>
          </w:p>
        </w:tc>
        <w:tc>
          <w:tcPr>
            <w:tcW w:type="dxa" w:w="3620"/>
          </w:tcPr>
          <w:p>
            <w:pPr>
              <w:pStyle w:val="Compact"/>
              <w:jc w:val="center"/>
            </w:pPr>
            <w:r>
              <w:t xml:space="preserve">non</w:t>
            </w:r>
          </w:p>
        </w:tc>
        <w:tc>
          <w:tcPr>
            <w:tcW w:type="dxa" w:w="2895"/>
          </w:tcPr>
          <w:p>
            <w:pPr>
              <w:pStyle w:val="Compact"/>
              <w:jc w:val="left"/>
            </w:pPr>
            <w:r>
              <w:t xml:space="preserve">défauts raisonnables fournis</w:t>
            </w:r>
          </w:p>
        </w:tc>
      </w:tr>
    </w:tbl>
    <w:p/>
    <w:tbl>
      <w:tblPr>
        <w:tblStyle w:val="Table"/>
        <w:tblW w:type="pct" w:w="5000"/>
        <w:tblLayout w:type="fixed"/>
        <w:tblLook w:firstRow="1" w:lastRow="0" w:firstColumn="0" w:lastColumn="0" w:noHBand="0" w:noVBand="0" w:val="0020"/>
        <w:jc w:val="start"/>
      </w:tblPr>
      <w:tblGrid>
        <w:gridCol w:w="4706"/>
        <w:gridCol w:w="4706"/>
      </w:tblGrid>
      <w:tr>
        <w:trPr>
          <w:tblHeader w:val="true"/>
        </w:trPr>
        <w:tc>
          <w:tcPr>
            <w:tcW w:type="dxa" w:w="4706"/>
          </w:tcPr>
          <w:p>
            <w:pPr>
              <w:pStyle w:val="Compact"/>
              <w:jc w:val="left"/>
            </w:pPr>
            <w:r>
              <w:t xml:space="preserve">Sortie</w:t>
            </w:r>
          </w:p>
        </w:tc>
        <w:tc>
          <w:tcPr>
            <w:tcW w:type="dxa" w:w="4706"/>
          </w:tcPr>
          <w:p>
            <w:pPr>
              <w:pStyle w:val="Compact"/>
              <w:jc w:val="left"/>
            </w:pPr>
            <w:r>
              <w:t xml:space="preserve">Contenu</w:t>
            </w:r>
          </w:p>
        </w:tc>
      </w:tr>
      <w:tr>
        <w:tc>
          <w:tcPr>
            <w:tcW w:type="dxa" w:w="4706"/>
          </w:tcPr>
          <w:p>
            <w:pPr>
              <w:pStyle w:val="Compact"/>
              <w:jc w:val="left"/>
            </w:pPr>
            <w:r>
              <w:t xml:space="preserve">La réponse</w:t>
            </w:r>
          </w:p>
        </w:tc>
        <w:tc>
          <w:tcPr>
            <w:tcW w:type="dxa" w:w="4706"/>
          </w:tcPr>
          <w:p>
            <w:pPr>
              <w:pStyle w:val="Compact"/>
              <w:jc w:val="left"/>
            </w:pPr>
            <w:r>
              <w:t xml:space="preserve">un nombre de cœurs, arrondi aux</w:t>
            </w:r>
            <w:r>
              <w:t xml:space="preserve"> </w:t>
            </w:r>
            <w:r>
              <w:rPr>
                <w:bCs/>
                <w:b/>
              </w:rPr>
              <w:t xml:space="preserve">nœuds entiers</w:t>
            </w:r>
            <w:r>
              <w:t xml:space="preserve"> </w:t>
            </w:r>
            <w:r>
              <w:t xml:space="preserve">de la machine</w:t>
            </w:r>
          </w:p>
        </w:tc>
      </w:tr>
      <w:tr>
        <w:tc>
          <w:tcPr>
            <w:tcW w:type="dxa" w:w="4706"/>
          </w:tcPr>
          <w:p>
            <w:pPr>
              <w:pStyle w:val="Compact"/>
              <w:jc w:val="left"/>
            </w:pPr>
            <w:r>
              <w:t xml:space="preserve">Les chiffres de décision</w:t>
            </w:r>
          </w:p>
        </w:tc>
        <w:tc>
          <w:tcPr>
            <w:tcW w:type="dxa" w:w="4706"/>
          </w:tcPr>
          <w:p>
            <w:pPr>
              <w:pStyle w:val="Compact"/>
              <w:jc w:val="left"/>
            </w:pPr>
            <w:r>
              <w:t xml:space="preserve">durée d’horloge, coût en h·cœur, accélération, efficacité, mailles/cœur, Go/cœur</w:t>
            </w:r>
          </w:p>
        </w:tc>
      </w:tr>
      <w:tr>
        <w:tc>
          <w:tcPr>
            <w:tcW w:type="dxa" w:w="4706"/>
          </w:tcPr>
          <w:p>
            <w:pPr>
              <w:pStyle w:val="Compact"/>
              <w:jc w:val="left"/>
            </w:pPr>
            <w:r>
              <w:t xml:space="preserve">Les alternatives</w:t>
            </w:r>
          </w:p>
        </w:tc>
        <w:tc>
          <w:tcPr>
            <w:tcW w:type="dxa" w:w="4706"/>
          </w:tcPr>
          <w:p>
            <w:pPr>
              <w:pStyle w:val="Compact"/>
              <w:jc w:val="left"/>
            </w:pPr>
            <w:r>
              <w:t xml:space="preserve">ce qu’auraient répondu les autres stratégies, avec l’écart en durée et en coût</w:t>
            </w:r>
          </w:p>
        </w:tc>
      </w:tr>
      <w:tr>
        <w:tc>
          <w:tcPr>
            <w:tcW w:type="dxa" w:w="4706"/>
          </w:tcPr>
          <w:p>
            <w:pPr>
              <w:pStyle w:val="Compact"/>
              <w:jc w:val="left"/>
            </w:pPr>
            <w:r>
              <w:t xml:space="preserve">Les réserves</w:t>
            </w:r>
          </w:p>
        </w:tc>
        <w:tc>
          <w:tcPr>
            <w:tcW w:type="dxa" w:w="4706"/>
          </w:tcPr>
          <w:p>
            <w:pPr>
              <w:pStyle w:val="Compact"/>
              <w:jc w:val="left"/>
            </w:pPr>
            <w:r>
              <w:t xml:space="preserve">qualité de l’ajustement, extrapolation hors plage pilote, mémoire non mesurée</w:t>
            </w:r>
          </w:p>
        </w:tc>
      </w:tr>
      <w:tr>
        <w:tc>
          <w:tcPr>
            <w:tcW w:type="dxa" w:w="4706"/>
          </w:tcPr>
          <w:p>
            <w:pPr>
              <w:pStyle w:val="Compact"/>
              <w:jc w:val="left"/>
            </w:pPr>
            <w:r>
              <w:t xml:space="preserve">Les traces</w:t>
            </w:r>
          </w:p>
        </w:tc>
        <w:tc>
          <w:tcPr>
            <w:tcW w:type="dxa" w:w="4706"/>
          </w:tcPr>
          <w:p>
            <w:pPr>
              <w:pStyle w:val="Compact"/>
              <w:jc w:val="left"/>
            </w:pPr>
            <w:r>
              <w:rPr>
                <w:rStyle w:val="VerbatimChar"/>
              </w:rPr>
              <w:t xml:space="preserve">ETUDE.yaml</w:t>
            </w:r>
            <w:r>
              <w:t xml:space="preserve"> </w:t>
            </w:r>
            <w:r>
              <w:t xml:space="preserve">validé, figure PNG, rapport — l’étude est rejouable telle quelle</w:t>
            </w:r>
          </w:p>
        </w:tc>
      </w:tr>
      <w:tr>
        <w:tc>
          <w:tcPr>
            <w:tcW w:type="dxa" w:w="4706"/>
          </w:tcPr>
          <w:p>
            <w:pPr>
              <w:pStyle w:val="Compact"/>
              <w:jc w:val="left"/>
            </w:pPr>
            <w:r>
              <w:t xml:space="preserve">Le code de sortie</w:t>
            </w:r>
          </w:p>
        </w:tc>
        <w:tc>
          <w:tcPr>
            <w:tcW w:type="dxa" w:w="4706"/>
          </w:tcPr>
          <w:p>
            <w:pPr>
              <w:pStyle w:val="Compact"/>
              <w:jc w:val="left"/>
            </w:pPr>
            <w:r>
              <w:t xml:space="preserve">0 succès, 1 erreur, 2 aucune configuration réalisable, 3 runs non terminés</w:t>
            </w:r>
          </w:p>
        </w:tc>
      </w:tr>
    </w:tbl>
    <w:p>
      <w:pPr>
        <w:pStyle w:val="BodyText"/>
      </w:pPr>
      <w:r>
        <w:rPr>
          <w:bCs/>
          <w:b/>
        </w:rPr>
        <w:t xml:space="preserve">Un point de vocabulaire, parce qu’il structure tout le reste.</w:t>
      </w:r>
      <w:r>
        <w:t xml:space="preserve"> </w:t>
      </w:r>
      <w:r>
        <w:t xml:space="preserve">La</w:t>
      </w:r>
      <w:r>
        <w:t xml:space="preserve"> </w:t>
      </w:r>
      <w:r>
        <w:rPr>
          <w:iCs/>
          <w:i/>
        </w:rPr>
        <w:t xml:space="preserve">durée</w:t>
      </w:r>
      <w:r>
        <w:t xml:space="preserve"> </w:t>
      </w:r>
      <w:r>
        <w:t xml:space="preserve">est</w:t>
      </w:r>
      <w:r>
        <w:t xml:space="preserve"> </w:t>
      </w:r>
      <w:r>
        <w:t xml:space="preserve">le temps d’horloge que vous attendez ; le</w:t>
      </w:r>
      <w:r>
        <w:t xml:space="preserve"> </w:t>
      </w:r>
      <w:r>
        <w:rPr>
          <w:iCs/>
          <w:i/>
        </w:rPr>
        <w:t xml:space="preserve">coût</w:t>
      </w:r>
      <w:r>
        <w:t xml:space="preserve"> </w:t>
      </w:r>
      <w:r>
        <w:t xml:space="preserve">est le produit durée × cœurs,</w:t>
      </w:r>
      <w:r>
        <w:t xml:space="preserve"> </w:t>
      </w:r>
      <w:r>
        <w:t xml:space="preserve">c’est-à-dire ce qui est facturé sur l’allocation. Les deux ne sont pas</w:t>
      </w:r>
      <w:r>
        <w:t xml:space="preserve"> </w:t>
      </w:r>
      <w:r>
        <w:t xml:space="preserve">minimisés par le même nombre de cœurs — d’où la notion de stratégie.</w:t>
      </w:r>
    </w:p>
    <w:bookmarkEnd w:id="27"/>
    <w:bookmarkStart w:id="37" w:name="le-principe-physique-en-trois-images"/>
    <w:p>
      <w:pPr>
        <w:pStyle w:val="Heading2"/>
      </w:pPr>
      <w:r>
        <w:t xml:space="preserve">2.2 Le principe physique, en trois images</w:t>
      </w:r>
    </w:p>
    <w:p>
      <w:pPr>
        <w:pStyle w:val="FirstParagraph"/>
      </w:pPr>
      <w:r>
        <w:t xml:space="preserve">Sur un maillage</w:t>
      </w:r>
      <w:r>
        <w:t xml:space="preserve"> </w:t>
      </w:r>
      <w:r>
        <w:rPr>
          <w:bCs/>
          <w:b/>
        </w:rPr>
        <w:t xml:space="preserve">fixe</w:t>
      </w:r>
      <w:r>
        <w:t xml:space="preserve">, ajouter des cœurs a deux effets opposés. Le premier est</w:t>
      </w:r>
      <w:r>
        <w:t xml:space="preserve"> </w:t>
      </w:r>
      <w:r>
        <w:t xml:space="preserve">celui qu’on attend : chaque rang MPI a moins de mailles à traiter. Le second est</w:t>
      </w:r>
      <w:r>
        <w:t xml:space="preserve"> </w:t>
      </w:r>
      <w:r>
        <w:t xml:space="preserve">celui qu’on oublie : chaque sous-domaine devient plus petit, donc son rapport</w:t>
      </w:r>
      <w:r>
        <w:t xml:space="preserve"> </w:t>
      </w:r>
      <w:r>
        <w:t xml:space="preserve">surface/volume augmente, et la part du temps passée à échanger les halos avec</w:t>
      </w:r>
      <w:r>
        <w:t xml:space="preserve"> </w:t>
      </w:r>
      <w:r>
        <w:t xml:space="preserve">les rangs voisins grandit.</w:t>
      </w:r>
    </w:p>
    <w:p>
      <w:pPr>
        <w:pStyle w:val="CaptionedFigure"/>
      </w:pPr>
      <w:r>
        <w:drawing>
          <wp:inline>
            <wp:extent cx="5976000" cy="2066522"/>
            <wp:effectExtent b="0" l="0" r="0" t="0"/>
            <wp:docPr descr="Figure 3 — Le même maillage découpé sur 1, 4, 16 puis 64 cœurs. Les traits rouges sont les interfaces entre sous-domaines : ce sont elles qu’il faut échanger à chaque itération. Le nombre de faces échangées par maille calculée passe de 0,08 à 0,58." title="" id="29" name="Picture"/>
            <a:graphic>
              <a:graphicData uri="http://schemas.openxmlformats.org/drawingml/2006/picture">
                <pic:pic>
                  <pic:nvPicPr>
                    <pic:cNvPr descr="../FIGURES/03_decomposition.png" id="30" name="Picture"/>
                    <pic:cNvPicPr>
                      <a:picLocks noChangeArrowheads="1" noChangeAspect="1"/>
                    </pic:cNvPicPr>
                  </pic:nvPicPr>
                  <pic:blipFill>
                    <a:blip r:embed="rId28"/>
                    <a:stretch>
                      <a:fillRect/>
                    </a:stretch>
                  </pic:blipFill>
                  <pic:spPr bwMode="auto">
                    <a:xfrm>
                      <a:off x="0" y="0"/>
                      <a:ext cx="5976000" cy="2066522"/>
                    </a:xfrm>
                    <a:prstGeom prst="rect">
                      <a:avLst/>
                    </a:prstGeom>
                    <a:noFill/>
                    <a:ln w="9525">
                      <a:noFill/>
                      <a:headEnd/>
                      <a:tailEnd/>
                    </a:ln>
                  </pic:spPr>
                </pic:pic>
              </a:graphicData>
            </a:graphic>
          </wp:inline>
        </w:drawing>
      </w:r>
    </w:p>
    <w:p>
      <w:pPr>
        <w:pStyle w:val="ImageCaption"/>
      </w:pPr>
      <w:r>
        <w:t xml:space="preserve">Figure 3 — Le même maillage découpé sur 1, 4, 16 puis 64 cœurs. Les traits rouges sont les interfaces entre sous-domaines : ce sont elles qu’il faut échanger à chaque itération. Le nombre de faces échangées par maille calculée passe de 0,08 à 0,58.</w:t>
      </w:r>
    </w:p>
    <w:p>
      <w:pPr>
        <w:pStyle w:val="BodyText"/>
      </w:pPr>
      <w:r>
        <w:t xml:space="preserve">Le volume de travail utile décroît comme le nombre de mailles par rang, mais la</w:t>
      </w:r>
      <w:r>
        <w:t xml:space="preserve"> </w:t>
      </w:r>
      <w:r>
        <w:t xml:space="preserve">surface à échanger ne décroît que comme sa puissance 2/3. La conséquence</w:t>
      </w:r>
      <w:r>
        <w:t xml:space="preserve"> </w:t>
      </w:r>
      <w:r>
        <w:t xml:space="preserve">pratique tient en une règle : sous ~10 000 mailles par cœur, l’échange domine le</w:t>
      </w:r>
      <w:r>
        <w:t xml:space="preserve"> </w:t>
      </w:r>
      <w:r>
        <w:t xml:space="preserve">travail du solveur. C’est le plancher retenu par défaut dans l’outil — un</w:t>
      </w:r>
      <w:r>
        <w:t xml:space="preserve"> </w:t>
      </w:r>
      <w:r>
        <w:t xml:space="preserve">plancher, pas une cible.</w:t>
      </w:r>
    </w:p>
    <w:p>
      <w:pPr>
        <w:pStyle w:val="CaptionedFigure"/>
      </w:pPr>
      <w:r>
        <w:drawing>
          <wp:inline>
            <wp:extent cx="5976000" cy="2364025"/>
            <wp:effectExtent b="0" l="0" r="0" t="0"/>
            <wp:docPr descr="Figure 4 — À gauche, la charge par cœur s’effondre à mesure qu’on ajoute des cœurs, jusqu’au plancher de 10 000 mailles. À droite, la fraction de mailles situées sur un bord de sous-domaine : à 10 000 mailles par rang, 28 % des mailles d’un rang sont des mailles de bord." title="" id="32" name="Picture"/>
            <a:graphic>
              <a:graphicData uri="http://schemas.openxmlformats.org/drawingml/2006/picture">
                <pic:pic>
                  <pic:nvPicPr>
                    <pic:cNvPr descr="../FIGURES/04_surface_volume.png" id="33" name="Picture"/>
                    <pic:cNvPicPr>
                      <a:picLocks noChangeArrowheads="1" noChangeAspect="1"/>
                    </pic:cNvPicPr>
                  </pic:nvPicPr>
                  <pic:blipFill>
                    <a:blip r:embed="rId31"/>
                    <a:stretch>
                      <a:fillRect/>
                    </a:stretch>
                  </pic:blipFill>
                  <pic:spPr bwMode="auto">
                    <a:xfrm>
                      <a:off x="0" y="0"/>
                      <a:ext cx="5976000" cy="2364025"/>
                    </a:xfrm>
                    <a:prstGeom prst="rect">
                      <a:avLst/>
                    </a:prstGeom>
                    <a:noFill/>
                    <a:ln w="9525">
                      <a:noFill/>
                      <a:headEnd/>
                      <a:tailEnd/>
                    </a:ln>
                  </pic:spPr>
                </pic:pic>
              </a:graphicData>
            </a:graphic>
          </wp:inline>
        </w:drawing>
      </w:r>
    </w:p>
    <w:p>
      <w:pPr>
        <w:pStyle w:val="ImageCaption"/>
      </w:pPr>
      <w:r>
        <w:t xml:space="preserve">Figure 4 — À gauche, la charge par cœur s’effondre à mesure qu’on ajoute des cœurs, jusqu’au plancher de 10 000 mailles. À droite, la fraction de mailles situées sur un bord de sous-domaine : à 10 000 mailles par rang, 28 % des mailles d’un rang sont des mailles de bord.</w:t>
      </w:r>
    </w:p>
    <w:p>
      <w:pPr>
        <w:pStyle w:val="BodyText"/>
      </w:pPr>
      <w:r>
        <w:t xml:space="preserve">Ces deux effets se résument en un modèle à trois termes, ajusté sur les points</w:t>
      </w:r>
      <w:r>
        <w:t xml:space="preserve"> </w:t>
      </w:r>
      <w:r>
        <w:t xml:space="preserve">pilotes :</w:t>
      </w:r>
    </w:p>
    <w:p>
      <w:pPr>
        <w:pStyle w:val="BodyText"/>
      </w:pPr>
      <m:oMathPara>
        <m:oMathParaPr>
          <m:jc m:val="center"/>
        </m:oMathParaPr>
        <m:oMath>
          <m:r>
            <m:t>T</m:t>
          </m:r>
          <m:d>
            <m:dPr>
              <m:begChr m:val="("/>
              <m:endChr m:val=")"/>
              <m:sepChr m:val=""/>
              <m:grow/>
            </m:dPr>
            <m:e>
              <m:sSub>
                <m:e>
                  <m:r>
                    <m:t>N</m:t>
                  </m:r>
                </m:e>
                <m:sub>
                  <m:r>
                    <m:t>c</m:t>
                  </m:r>
                </m:sub>
              </m:sSub>
            </m:e>
          </m:d>
          <m:r>
            <m:rPr>
              <m:sty m:val="p"/>
            </m:rPr>
            <m:t>=</m:t>
          </m:r>
          <m:sSub>
            <m:e>
              <m:r>
                <m:t>t</m:t>
              </m:r>
            </m:e>
            <m:sub>
              <m:r>
                <m:t>s</m:t>
              </m:r>
              <m:r>
                <m:t>e</m:t>
              </m:r>
              <m:r>
                <m:t>r</m:t>
              </m:r>
            </m:sub>
          </m:sSub>
          <m:r>
            <m:rPr>
              <m:sty m:val="p"/>
            </m:rPr>
            <m:t>+</m:t>
          </m:r>
          <m:f>
            <m:fPr>
              <m:type m:val="bar"/>
            </m:fPr>
            <m:num>
              <m:sSub>
                <m:e>
                  <m:r>
                    <m:t>t</m:t>
                  </m:r>
                </m:e>
                <m:sub>
                  <m:r>
                    <m:t>p</m:t>
                  </m:r>
                  <m:r>
                    <m:t>a</m:t>
                  </m:r>
                  <m:r>
                    <m:t>r</m:t>
                  </m:r>
                </m:sub>
              </m:sSub>
            </m:num>
            <m:den>
              <m:sSub>
                <m:e>
                  <m:r>
                    <m:t>N</m:t>
                  </m:r>
                </m:e>
                <m:sub>
                  <m:r>
                    <m:t>c</m:t>
                  </m:r>
                </m:sub>
              </m:sSub>
            </m:den>
          </m:f>
          <m:r>
            <m:rPr>
              <m:sty m:val="p"/>
            </m:rPr>
            <m:t>+</m:t>
          </m:r>
          <m:sSub>
            <m:e>
              <m:r>
                <m:t>t</m:t>
              </m:r>
            </m:e>
            <m:sub>
              <m:r>
                <m:t>c</m:t>
              </m:r>
              <m:r>
                <m:t>o</m:t>
              </m:r>
              <m:r>
                <m:t>m</m:t>
              </m:r>
              <m:r>
                <m:t>m</m:t>
              </m:r>
            </m:sub>
          </m:sSub>
          <m:r>
            <m:rPr>
              <m:sty m:val="p"/>
            </m:rPr>
            <m:t>⋅</m:t>
          </m:r>
          <m:sSubSup>
            <m:e>
              <m:r>
                <m:t>N</m:t>
              </m:r>
            </m:e>
            <m:sub>
              <m:r>
                <m:t>c</m:t>
              </m:r>
            </m:sub>
            <m:sup>
              <m:r>
                <m:t>γ</m:t>
              </m:r>
            </m:sup>
          </m:sSubSup>
        </m:oMath>
      </m:oMathPara>
    </w:p>
    <w:tbl>
      <w:tblPr>
        <w:tblStyle w:val="Table"/>
        <w:tblW w:type="pct" w:w="5000"/>
        <w:tblLayout w:type="fixed"/>
        <w:tblLook w:firstRow="1" w:lastRow="0" w:firstColumn="0" w:lastColumn="0" w:noHBand="0" w:noVBand="0" w:val="0020"/>
        <w:jc w:val="start"/>
      </w:tblPr>
      <w:tblGrid>
        <w:gridCol w:w="3137"/>
        <w:gridCol w:w="3137"/>
        <w:gridCol w:w="3137"/>
      </w:tblGrid>
      <w:tr>
        <w:trPr>
          <w:tblHeader w:val="true"/>
        </w:trPr>
        <w:tc>
          <w:tcPr>
            <w:tcW w:type="dxa" w:w="3137"/>
          </w:tcPr>
          <w:p>
            <w:pPr>
              <w:pStyle w:val="Compact"/>
              <w:jc w:val="left"/>
            </w:pPr>
            <w:r>
              <w:t xml:space="preserve">Terme</w:t>
            </w:r>
          </w:p>
        </w:tc>
        <w:tc>
          <w:tcPr>
            <w:tcW w:type="dxa" w:w="3137"/>
          </w:tcPr>
          <w:p>
            <w:pPr>
              <w:pStyle w:val="Compact"/>
              <w:jc w:val="left"/>
            </w:pPr>
            <w:r>
              <w:t xml:space="preserve">Signification physique</w:t>
            </w:r>
          </w:p>
        </w:tc>
        <w:tc>
          <w:tcPr>
            <w:tcW w:type="dxa" w:w="3137"/>
          </w:tcPr>
          <w:p>
            <w:pPr>
              <w:pStyle w:val="Compact"/>
              <w:jc w:val="left"/>
            </w:pPr>
            <w:r>
              <w:t xml:space="preserve">Quand</w:t>
            </w:r>
            <w:r>
              <w:t xml:space="preserve"> </w:t>
            </w:r>
            <m:oMath>
              <m:sSub>
                <m:e>
                  <m:r>
                    <m:t>N</m:t>
                  </m:r>
                </m:e>
                <m:sub>
                  <m:r>
                    <m:t>c</m:t>
                  </m:r>
                </m:sub>
              </m:sSub>
            </m:oMath>
            <w:r>
              <w:t xml:space="preserve"> </w:t>
            </w:r>
            <w:r>
              <w:t xml:space="preserve">augmente</w:t>
            </w:r>
          </w:p>
        </w:tc>
      </w:tr>
      <w:tr>
        <w:tc>
          <w:tcPr>
            <w:tcW w:type="dxa" w:w="3137"/>
          </w:tcPr>
          <w:p>
            <w:pPr>
              <w:pStyle w:val="Compact"/>
              <w:jc w:val="left"/>
            </w:pPr>
            <m:oMath>
              <m:sSub>
                <m:e>
                  <m:r>
                    <m:t>t</m:t>
                  </m:r>
                </m:e>
                <m:sub>
                  <m:r>
                    <m:t>s</m:t>
                  </m:r>
                  <m:r>
                    <m:t>e</m:t>
                  </m:r>
                  <m:r>
                    <m:t>r</m:t>
                  </m:r>
                </m:sub>
              </m:sSub>
            </m:oMath>
          </w:p>
        </w:tc>
        <w:tc>
          <w:tcPr>
            <w:tcW w:type="dxa" w:w="3137"/>
          </w:tcPr>
          <w:p>
            <w:pPr>
              <w:pStyle w:val="Compact"/>
              <w:jc w:val="left"/>
            </w:pPr>
            <w:r>
              <w:t xml:space="preserve">travail jamais parallélisé : E/S, initialisation, réductions</w:t>
            </w:r>
          </w:p>
        </w:tc>
        <w:tc>
          <w:tcPr>
            <w:tcW w:type="dxa" w:w="3137"/>
          </w:tcPr>
          <w:p>
            <w:pPr>
              <w:pStyle w:val="Compact"/>
              <w:jc w:val="left"/>
            </w:pPr>
            <w:r>
              <w:t xml:space="preserve">constant</w:t>
            </w:r>
          </w:p>
        </w:tc>
      </w:tr>
      <w:tr>
        <w:tc>
          <w:tcPr>
            <w:tcW w:type="dxa" w:w="3137"/>
          </w:tcPr>
          <w:p>
            <w:pPr>
              <w:pStyle w:val="Compact"/>
              <w:jc w:val="left"/>
            </w:pPr>
            <m:oMath>
              <m:sSub>
                <m:e>
                  <m:r>
                    <m:t>t</m:t>
                  </m:r>
                </m:e>
                <m:sub>
                  <m:r>
                    <m:t>p</m:t>
                  </m:r>
                  <m:r>
                    <m:t>a</m:t>
                  </m:r>
                  <m:r>
                    <m:t>r</m:t>
                  </m:r>
                </m:sub>
              </m:sSub>
              <m:r>
                <m:rPr>
                  <m:sty m:val="p"/>
                </m:rPr>
                <m:t>/</m:t>
              </m:r>
              <m:sSub>
                <m:e>
                  <m:r>
                    <m:t>N</m:t>
                  </m:r>
                </m:e>
                <m:sub>
                  <m:r>
                    <m:t>c</m:t>
                  </m:r>
                </m:sub>
              </m:sSub>
            </m:oMath>
          </w:p>
        </w:tc>
        <w:tc>
          <w:tcPr>
            <w:tcW w:type="dxa" w:w="3137"/>
          </w:tcPr>
          <w:p>
            <w:pPr>
              <w:pStyle w:val="Compact"/>
              <w:jc w:val="left"/>
            </w:pPr>
            <w:r>
              <w:t xml:space="preserve">travail qui se divise parfaitement</w:t>
            </w:r>
          </w:p>
        </w:tc>
        <w:tc>
          <w:tcPr>
            <w:tcW w:type="dxa" w:w="3137"/>
          </w:tcPr>
          <w:p>
            <w:pPr>
              <w:pStyle w:val="Compact"/>
              <w:jc w:val="left"/>
            </w:pPr>
            <w:r>
              <w:t xml:space="preserve">décroît — on gagne</w:t>
            </w:r>
          </w:p>
        </w:tc>
      </w:tr>
      <w:tr>
        <w:tc>
          <w:tcPr>
            <w:tcW w:type="dxa" w:w="3137"/>
          </w:tcPr>
          <w:p>
            <w:pPr>
              <w:pStyle w:val="Compact"/>
              <w:jc w:val="left"/>
            </w:pPr>
            <m:oMath>
              <m:sSub>
                <m:e>
                  <m:r>
                    <m:t>t</m:t>
                  </m:r>
                </m:e>
                <m:sub>
                  <m:r>
                    <m:t>c</m:t>
                  </m:r>
                  <m:r>
                    <m:t>o</m:t>
                  </m:r>
                  <m:r>
                    <m:t>m</m:t>
                  </m:r>
                  <m:r>
                    <m:t>m</m:t>
                  </m:r>
                </m:sub>
              </m:sSub>
              <m:r>
                <m:rPr>
                  <m:sty m:val="p"/>
                </m:rPr>
                <m:t>⋅</m:t>
              </m:r>
              <m:sSubSup>
                <m:e>
                  <m:r>
                    <m:t>N</m:t>
                  </m:r>
                </m:e>
                <m:sub>
                  <m:r>
                    <m:t>c</m:t>
                  </m:r>
                </m:sub>
                <m:sup>
                  <m:r>
                    <m:t>γ</m:t>
                  </m:r>
                </m:sup>
              </m:sSubSup>
            </m:oMath>
          </w:p>
        </w:tc>
        <w:tc>
          <w:tcPr>
            <w:tcW w:type="dxa" w:w="3137"/>
          </w:tcPr>
          <w:p>
            <w:pPr>
              <w:pStyle w:val="Compact"/>
              <w:jc w:val="left"/>
            </w:pPr>
            <w:r>
              <w:t xml:space="preserve">coût des échanges MPI</w:t>
            </w:r>
          </w:p>
        </w:tc>
        <w:tc>
          <w:tcPr>
            <w:tcW w:type="dxa" w:w="3137"/>
          </w:tcPr>
          <w:p>
            <w:pPr>
              <w:pStyle w:val="Compact"/>
              <w:jc w:val="left"/>
            </w:pPr>
            <w:r>
              <w:t xml:space="preserve">croît — on perd</w:t>
            </w:r>
          </w:p>
        </w:tc>
      </w:tr>
    </w:tbl>
    <w:p>
      <w:pPr>
        <w:pStyle w:val="CaptionedFigure"/>
      </w:pPr>
      <w:r>
        <w:drawing>
          <wp:inline>
            <wp:extent cx="5976000" cy="3804624"/>
            <wp:effectExtent b="0" l="0" r="0" t="0"/>
            <wp:docPr descr="Figure 5 — Les trois contributions et leur somme (bleu) sur un cas réel de 20 millions de mailles. Le minimum de la courbe bleue est exactement le croisement où le gain de parallélisme est mangé par le coût de communication." title="" id="35" name="Picture"/>
            <a:graphic>
              <a:graphicData uri="http://schemas.openxmlformats.org/drawingml/2006/picture">
                <pic:pic>
                  <pic:nvPicPr>
                    <pic:cNvPr descr="../FIGURES/01_termes_modele.png" id="36" name="Picture"/>
                    <pic:cNvPicPr>
                      <a:picLocks noChangeArrowheads="1" noChangeAspect="1"/>
                    </pic:cNvPicPr>
                  </pic:nvPicPr>
                  <pic:blipFill>
                    <a:blip r:embed="rId34"/>
                    <a:stretch>
                      <a:fillRect/>
                    </a:stretch>
                  </pic:blipFill>
                  <pic:spPr bwMode="auto">
                    <a:xfrm>
                      <a:off x="0" y="0"/>
                      <a:ext cx="5976000" cy="3804624"/>
                    </a:xfrm>
                    <a:prstGeom prst="rect">
                      <a:avLst/>
                    </a:prstGeom>
                    <a:noFill/>
                    <a:ln w="9525">
                      <a:noFill/>
                      <a:headEnd/>
                      <a:tailEnd/>
                    </a:ln>
                  </pic:spPr>
                </pic:pic>
              </a:graphicData>
            </a:graphic>
          </wp:inline>
        </w:drawing>
      </w:r>
    </w:p>
    <w:p>
      <w:pPr>
        <w:pStyle w:val="ImageCaption"/>
      </w:pPr>
      <w:r>
        <w:t xml:space="preserve">Figure 5 — Les trois contributions et leur somme (bleu) sur un cas réel de 20 millions de mailles. Le minimum de la courbe bleue est exactement le croisement où le gain de parallélisme est mangé par le coût de communication.</w:t>
      </w:r>
    </w:p>
    <w:p>
      <w:pPr>
        <w:pStyle w:val="BodyText"/>
      </w:pPr>
      <w:r>
        <w:t xml:space="preserve">L’exposant</w:t>
      </w:r>
      <w:r>
        <w:t xml:space="preserve"> </w:t>
      </w:r>
      <m:oMath>
        <m:r>
          <m:t>γ</m:t>
        </m:r>
      </m:oMath>
      <w:r>
        <w:t xml:space="preserve"> </w:t>
      </w:r>
      <w:r>
        <w:t xml:space="preserve">n’est pas une constante universelle : il absorbe la topologie</w:t>
      </w:r>
      <w:r>
        <w:t xml:space="preserve"> </w:t>
      </w:r>
      <w:r>
        <w:t xml:space="preserve">du réseau, le partitionneur et le solveur. Sur le cas de référence de ce</w:t>
      </w:r>
      <w:r>
        <w:t xml:space="preserve"> </w:t>
      </w:r>
      <w:r>
        <w:t xml:space="preserve">document, l’ajustement donne</w:t>
      </w:r>
      <w:r>
        <w:t xml:space="preserve"> </w:t>
      </w:r>
      <w:r>
        <w:rPr>
          <w:rStyle w:val="VerbatimChar"/>
        </w:rPr>
        <w:t xml:space="preserve">T(Nc) = 0,6002 + 153,6/Nc + 2,449e-06 · Nc^1,77</w:t>
      </w:r>
      <w:r>
        <w:t xml:space="preserve">, avec 2,5 % d’erreur maximale</w:t>
      </w:r>
      <w:r>
        <w:t xml:space="preserve"> </w:t>
      </w:r>
      <w:r>
        <w:t xml:space="preserve">et R² = 0,9993.</w:t>
      </w:r>
      <w:r>
        <w:t xml:space="preserve"> </w:t>
      </w:r>
      <w:r>
        <w:rPr>
          <w:bCs/>
          <w:b/>
        </w:rPr>
        <w:t xml:space="preserve">Ce</w:t>
      </w:r>
      <w:r>
        <w:rPr>
          <w:bCs/>
          <w:b/>
        </w:rPr>
        <w:t xml:space="preserve"> </w:t>
      </w:r>
      <m:oMath>
        <m:r>
          <m:t>γ</m:t>
        </m:r>
      </m:oMath>
      <w:r>
        <w:rPr>
          <w:bCs/>
          <w:b/>
        </w:rPr>
        <w:t xml:space="preserve"> </w:t>
      </w:r>
      <w:r>
        <w:rPr>
          <w:bCs/>
          <w:b/>
        </w:rPr>
        <w:t xml:space="preserve">n’est pas transposable d’une machine à l’autre.</w:t>
      </w:r>
    </w:p>
    <w:p>
      <w:r>
        <w:br w:type="page"/>
      </w:r>
    </w:p>
    <w:bookmarkEnd w:id="37"/>
    <w:bookmarkStart w:id="54" w:name="les-grandes-étapes"/>
    <w:p>
      <w:pPr>
        <w:pStyle w:val="Heading2"/>
      </w:pPr>
      <w:r>
        <w:t xml:space="preserve">2.3 Les grandes étapes</w:t>
      </w:r>
    </w:p>
    <w:p>
      <w:pPr>
        <w:pStyle w:val="CaptionedFigure"/>
      </w:pPr>
      <w:r>
        <w:drawing>
          <wp:inline>
            <wp:extent cx="5976000" cy="4490110"/>
            <wp:effectExtent b="0" l="0" r="0" t="0"/>
            <wp:docPr descr="Figure 6 — L’enchaînement complet, de la préparation à l’archivage, avec la commande et l’artefact produit à chaque étape." title="" id="39" name="Picture"/>
            <a:graphic>
              <a:graphicData uri="http://schemas.openxmlformats.org/drawingml/2006/picture">
                <pic:pic>
                  <pic:nvPicPr>
                    <pic:cNvPr descr="../FIGURES/07_etapes.png" id="40" name="Picture"/>
                    <pic:cNvPicPr>
                      <a:picLocks noChangeArrowheads="1" noChangeAspect="1"/>
                    </pic:cNvPicPr>
                  </pic:nvPicPr>
                  <pic:blipFill>
                    <a:blip r:embed="rId38"/>
                    <a:stretch>
                      <a:fillRect/>
                    </a:stretch>
                  </pic:blipFill>
                  <pic:spPr bwMode="auto">
                    <a:xfrm>
                      <a:off x="0" y="0"/>
                      <a:ext cx="5976000" cy="4490110"/>
                    </a:xfrm>
                    <a:prstGeom prst="rect">
                      <a:avLst/>
                    </a:prstGeom>
                    <a:noFill/>
                    <a:ln w="9525">
                      <a:noFill/>
                      <a:headEnd/>
                      <a:tailEnd/>
                    </a:ln>
                  </pic:spPr>
                </pic:pic>
              </a:graphicData>
            </a:graphic>
          </wp:inline>
        </w:drawing>
      </w:r>
    </w:p>
    <w:p>
      <w:pPr>
        <w:pStyle w:val="ImageCaption"/>
      </w:pPr>
      <w:r>
        <w:t xml:space="preserve">Figure 6 — L’enchaînement complet, de la préparation à l’archivage, avec la commande et l’artefact produit à chaque étape.</w:t>
      </w:r>
    </w:p>
    <w:bookmarkStart w:id="41" w:name="X4bab29e0c82b4a5293de8ed084c210d825ea1fc"/>
    <w:p>
      <w:pPr>
        <w:pStyle w:val="Heading3"/>
      </w:pPr>
      <w:r>
        <w:t xml:space="preserve">ÉTAPE 0 — Préparer et vérifier les prérequis</w:t>
      </w:r>
    </w:p>
    <w:p>
      <w:pPr>
        <w:pStyle w:val="FirstParagraph"/>
      </w:pPr>
      <w:r>
        <w:t xml:space="preserve">On part d’un</w:t>
      </w:r>
      <w:r>
        <w:t xml:space="preserve"> </w:t>
      </w:r>
      <w:r>
        <w:rPr>
          <w:bCs/>
          <w:b/>
        </w:rPr>
        <w:t xml:space="preserve">cas qui tourne déjà</w:t>
      </w:r>
      <w:r>
        <w:t xml:space="preserve"> </w:t>
      </w:r>
      <w:r>
        <w:t xml:space="preserve">: maillage, conditions aux limites et</w:t>
      </w:r>
      <w:r>
        <w:t xml:space="preserve"> </w:t>
      </w:r>
      <w:r>
        <w:t xml:space="preserve">réglages du solveur figés. La campagne pilote n’a de valeur que si elle mesure le</w:t>
      </w:r>
      <w:r>
        <w:t xml:space="preserve"> </w:t>
      </w:r>
      <w:r>
        <w:t xml:space="preserve">vrai cas ; un cas dégradé « pour aller plus vite » mesure autre chose.</w:t>
      </w:r>
    </w:p>
    <w:p>
      <w:pPr>
        <w:pStyle w:val="BodyText"/>
      </w:pPr>
      <w:r>
        <w:t xml:space="preserve">Trois vérifications, dans l’ordre :</w:t>
      </w:r>
    </w:p>
    <w:p>
      <w:pPr>
        <w:numPr>
          <w:ilvl w:val="0"/>
          <w:numId w:val="1001"/>
        </w:numPr>
        <w:pStyle w:val="Compact"/>
      </w:pPr>
      <w:r>
        <w:t xml:space="preserve">l’outil répond —</w:t>
      </w:r>
      <w:r>
        <w:t xml:space="preserve"> </w:t>
      </w:r>
      <w:r>
        <w:rPr>
          <w:rStyle w:val="VerbatimChar"/>
        </w:rPr>
        <w:t xml:space="preserve">cfd-perf --help</w:t>
      </w:r>
      <w:r>
        <w:t xml:space="preserve">, et</w:t>
      </w:r>
      <w:r>
        <w:t xml:space="preserve"> </w:t>
      </w:r>
      <w:r>
        <w:rPr>
          <w:rStyle w:val="VerbatimChar"/>
        </w:rPr>
        <w:t xml:space="preserve">cfd-perf example -o essai</w:t>
      </w:r>
      <w:r>
        <w:t xml:space="preserve"> </w:t>
      </w:r>
      <w:r>
        <w:t xml:space="preserve">pour</w:t>
      </w:r>
      <w:r>
        <w:t xml:space="preserve"> </w:t>
      </w:r>
      <w:r>
        <w:t xml:space="preserve">dérouler un cas fourni sans solveur ;</w:t>
      </w:r>
    </w:p>
    <w:p>
      <w:pPr>
        <w:numPr>
          <w:ilvl w:val="0"/>
          <w:numId w:val="1001"/>
        </w:numPr>
        <w:pStyle w:val="Compact"/>
      </w:pPr>
      <w:r>
        <w:t xml:space="preserve">l’adaptateur du solveur est disponible et le solveur est installé —</w:t>
      </w:r>
      <w:r>
        <w:t xml:space="preserve"> </w:t>
      </w:r>
      <w:r>
        <w:rPr>
          <w:rStyle w:val="VerbatimChar"/>
        </w:rPr>
        <w:t xml:space="preserve">source ADAPTATEUR/OF.sh &amp;&amp; adapt_verifier_installation</w:t>
      </w:r>
      <w:r>
        <w:t xml:space="preserve"> </w:t>
      </w:r>
      <w:r>
        <w:t xml:space="preserve">;</w:t>
      </w:r>
    </w:p>
    <w:p>
      <w:pPr>
        <w:numPr>
          <w:ilvl w:val="0"/>
          <w:numId w:val="1001"/>
        </w:numPr>
        <w:pStyle w:val="Compact"/>
      </w:pPr>
      <w:r>
        <w:t xml:space="preserve">la machine est connue — détection automatique via l’ordonnanceur, sinon</w:t>
      </w:r>
      <w:r>
        <w:t xml:space="preserve"> </w:t>
      </w:r>
      <w:r>
        <w:t xml:space="preserve">inscrite dans</w:t>
      </w:r>
      <w:r>
        <w:t xml:space="preserve"> </w:t>
      </w:r>
      <w:r>
        <w:rPr>
          <w:rStyle w:val="VerbatimChar"/>
        </w:rPr>
        <w:t xml:space="preserve">ADAPTATEUR/hotes.yaml</w:t>
      </w:r>
      <w:r>
        <w:t xml:space="preserve">.</w:t>
      </w:r>
    </w:p>
    <w:p>
      <w:pPr>
        <w:pStyle w:val="BlockText"/>
      </w:pPr>
      <w:r>
        <w:rPr>
          <w:bCs/>
          <w:b/>
        </w:rPr>
        <w:t xml:space="preserve">Renseigner</w:t>
      </w:r>
      <w:r>
        <w:rPr>
          <w:bCs/>
          <w:b/>
        </w:rPr>
        <w:t xml:space="preserve"> </w:t>
      </w:r>
      <w:r>
        <w:rPr>
          <w:rStyle w:val="VerbatimChar"/>
          <w:bCs/>
          <w:b/>
        </w:rPr>
        <w:t xml:space="preserve">cores_per_node</w:t>
      </w:r>
      <w:r>
        <w:rPr>
          <w:bCs/>
          <w:b/>
        </w:rPr>
        <w:t xml:space="preserve"> </w:t>
      </w:r>
      <w:r>
        <w:rPr>
          <w:bCs/>
          <w:b/>
        </w:rPr>
        <w:t xml:space="preserve">n’est pas optionnel en pratique.</w:t>
      </w:r>
      <w:r>
        <w:t xml:space="preserve"> </w:t>
      </w:r>
      <w:r>
        <w:t xml:space="preserve">Sans lui,</w:t>
      </w:r>
      <w:r>
        <w:t xml:space="preserve"> </w:t>
      </w:r>
      <w:r>
        <w:t xml:space="preserve">l’outil peut répondre « 531 cœurs », un nombre inutilisable : vous demanderez</w:t>
      </w:r>
      <w:r>
        <w:t xml:space="preserve"> </w:t>
      </w:r>
      <w:r>
        <w:t xml:space="preserve">12 nœuds de 48, soit 576 cœurs, et serez facturé pour 576.</w:t>
      </w:r>
    </w:p>
    <w:bookmarkEnd w:id="41"/>
    <w:bookmarkStart w:id="42" w:name="étape-1-soumettre-la-campagne-pilote"/>
    <w:p>
      <w:pPr>
        <w:pStyle w:val="Heading3"/>
      </w:pPr>
      <w:r>
        <w:t xml:space="preserve">ÉTAPE 1 — Soumettre la campagne pilote</w:t>
      </w:r>
    </w:p>
    <w:p>
      <w:pPr>
        <w:pStyle w:val="FirstParagraph"/>
      </w:pPr>
      <w:r>
        <w:t xml:space="preserve">Un run court par nombre de cœurs, sur le vrai cas, quelques centaines</w:t>
      </w:r>
      <w:r>
        <w:t xml:space="preserve"> </w:t>
      </w:r>
      <w:r>
        <w:t xml:space="preserve">d’itérations. C’est la seule mesure de toute la chaîne.</w:t>
      </w:r>
    </w:p>
    <w:p>
      <w:pPr>
        <w:pStyle w:val="SourceCode"/>
      </w:pPr>
      <w:r>
        <w:rPr>
          <w:rStyle w:val="ExtensionTok"/>
        </w:rPr>
        <w:t xml:space="preserve">cfd-perf</w:t>
      </w:r>
      <w:r>
        <w:rPr>
          <w:rStyle w:val="NormalTok"/>
        </w:rPr>
        <w:t xml:space="preserve"> capture </w:t>
      </w:r>
      <w:r>
        <w:rPr>
          <w:rStyle w:val="AttributeTok"/>
        </w:rPr>
        <w:t xml:space="preserve">--coeurs</w:t>
      </w:r>
      <w:r>
        <w:rPr>
          <w:rStyle w:val="NormalTok"/>
        </w:rPr>
        <w:t xml:space="preserve"> </w:t>
      </w:r>
      <w:r>
        <w:rPr>
          <w:rStyle w:val="StringTok"/>
        </w:rPr>
        <w:t xml:space="preserve">"48 96 192 384 768"</w:t>
      </w:r>
      <w:r>
        <w:rPr>
          <w:rStyle w:val="NormalTok"/>
        </w:rPr>
        <w:t xml:space="preserve"> </w:t>
      </w:r>
      <w:r>
        <w:rPr>
          <w:rStyle w:val="DataTypeTok"/>
        </w:rPr>
        <w:t xml:space="preserve">\</w:t>
      </w:r>
      <w:r>
        <w:br/>
      </w:r>
      <w:r>
        <w:rPr>
          <w:rStyle w:val="NormalTok"/>
        </w:rPr>
        <w:t xml:space="preserve">    </w:t>
      </w:r>
      <w:r>
        <w:rPr>
          <w:rStyle w:val="AttributeTok"/>
        </w:rPr>
        <w:t xml:space="preserve">--adaptateur</w:t>
      </w:r>
      <w:r>
        <w:rPr>
          <w:rStyle w:val="NormalTok"/>
        </w:rPr>
        <w:t xml:space="preserve"> OF </w:t>
      </w:r>
      <w:r>
        <w:rPr>
          <w:rStyle w:val="AttributeTok"/>
        </w:rPr>
        <w:t xml:space="preserve">--queue</w:t>
      </w:r>
      <w:r>
        <w:rPr>
          <w:rStyle w:val="NormalTok"/>
        </w:rPr>
        <w:t xml:space="preserve"> normal </w:t>
      </w:r>
      <w:r>
        <w:rPr>
          <w:rStyle w:val="AttributeTok"/>
        </w:rPr>
        <w:t xml:space="preserve">--case-dir</w:t>
      </w:r>
      <w:r>
        <w:rPr>
          <w:rStyle w:val="NormalTok"/>
        </w:rPr>
        <w:t xml:space="preserve"> .</w:t>
      </w:r>
    </w:p>
    <w:p>
      <w:pPr>
        <w:pStyle w:val="FirstParagraph"/>
      </w:pPr>
      <w:r>
        <w:t xml:space="preserve">La commande crée un répertoire par run dans</w:t>
      </w:r>
      <w:r>
        <w:t xml:space="preserve"> </w:t>
      </w:r>
      <w:r>
        <w:rPr>
          <w:rStyle w:val="VerbatimChar"/>
        </w:rPr>
        <w:t xml:space="preserve">PILOTE/</w:t>
      </w:r>
      <w:r>
        <w:t xml:space="preserve">, y copie les entrées,</w:t>
      </w:r>
      <w:r>
        <w:t xml:space="preserve"> </w:t>
      </w:r>
      <w:r>
        <w:t xml:space="preserve">prépare le cas pour N cœurs, soumet, écrit</w:t>
      </w:r>
      <w:r>
        <w:t xml:space="preserve"> </w:t>
      </w:r>
      <w:r>
        <w:rPr>
          <w:rStyle w:val="VerbatimChar"/>
        </w:rPr>
        <w:t xml:space="preserve">PILOTE/manifest.json</w:t>
      </w:r>
      <w:r>
        <w:t xml:space="preserve"> </w:t>
      </w:r>
      <w:r>
        <w:t xml:space="preserve">et</w:t>
      </w:r>
      <w:r>
        <w:t xml:space="preserve"> </w:t>
      </w:r>
      <w:r>
        <w:rPr>
          <w:bCs/>
          <w:b/>
        </w:rPr>
        <w:t xml:space="preserve">rend la</w:t>
      </w:r>
      <w:r>
        <w:rPr>
          <w:bCs/>
          <w:b/>
        </w:rPr>
        <w:t xml:space="preserve"> </w:t>
      </w:r>
      <w:r>
        <w:rPr>
          <w:bCs/>
          <w:b/>
        </w:rPr>
        <w:t xml:space="preserve">main</w:t>
      </w:r>
      <w:r>
        <w:t xml:space="preserve">. Les jobs partent en file d’attente ; on revient plus tard.</w:t>
      </w:r>
    </w:p>
    <w:p>
      <w:pPr>
        <w:pStyle w:val="BodyText"/>
      </w:pPr>
      <w:r>
        <w:t xml:space="preserve">Les règles de constitution du pilote conditionnent la qualité de la réponse :</w:t>
      </w:r>
    </w:p>
    <w:tbl>
      <w:tblPr>
        <w:tblStyle w:val="Table"/>
        <w:tblW w:type="pct" w:w="5000"/>
        <w:tblLayout w:type="fixed"/>
        <w:tblLook w:firstRow="1" w:lastRow="0" w:firstColumn="0" w:lastColumn="0" w:noHBand="0" w:noVBand="0" w:val="0020"/>
        <w:jc w:val="start"/>
      </w:tblPr>
      <w:tblGrid>
        <w:gridCol w:w="4706"/>
        <w:gridCol w:w="4706"/>
      </w:tblGrid>
      <w:tr>
        <w:trPr>
          <w:tblHeader w:val="true"/>
        </w:trPr>
        <w:tc>
          <w:tcPr>
            <w:tcW w:type="dxa" w:w="4706"/>
          </w:tcPr>
          <w:p>
            <w:pPr>
              <w:pStyle w:val="Compact"/>
              <w:jc w:val="left"/>
            </w:pPr>
            <w:r>
              <w:t xml:space="preserve">Règle</w:t>
            </w:r>
          </w:p>
        </w:tc>
        <w:tc>
          <w:tcPr>
            <w:tcW w:type="dxa" w:w="4706"/>
          </w:tcPr>
          <w:p>
            <w:pPr>
              <w:pStyle w:val="Compact"/>
              <w:jc w:val="left"/>
            </w:pPr>
            <w:r>
              <w:t xml:space="preserve">Pourquoi</w:t>
            </w:r>
          </w:p>
        </w:tc>
      </w:tr>
      <w:tr>
        <w:tc>
          <w:tcPr>
            <w:tcW w:type="dxa" w:w="4706"/>
          </w:tcPr>
          <w:p>
            <w:pPr>
              <w:pStyle w:val="Compact"/>
              <w:jc w:val="left"/>
            </w:pPr>
            <w:r>
              <w:t xml:space="preserve">Le</w:t>
            </w:r>
            <w:r>
              <w:t xml:space="preserve"> </w:t>
            </w:r>
            <w:r>
              <w:rPr>
                <w:bCs/>
                <w:b/>
              </w:rPr>
              <w:t xml:space="preserve">vrai</w:t>
            </w:r>
            <w:r>
              <w:t xml:space="preserve"> </w:t>
            </w:r>
            <w:r>
              <w:t xml:space="preserve">cas : vrai maillage, vrai solveur, vrai schéma</w:t>
            </w:r>
          </w:p>
        </w:tc>
        <w:tc>
          <w:tcPr>
            <w:tcW w:type="dxa" w:w="4706"/>
          </w:tcPr>
          <w:p>
            <w:pPr>
              <w:pStyle w:val="Compact"/>
              <w:jc w:val="left"/>
            </w:pPr>
            <m:oMath>
              <m:r>
                <m:t>γ</m:t>
              </m:r>
            </m:oMath>
            <w:r>
              <w:t xml:space="preserve"> </w:t>
            </w:r>
            <w:r>
              <w:t xml:space="preserve">dépend du partitionnement et du solveur</w:t>
            </w:r>
          </w:p>
        </w:tc>
      </w:tr>
      <w:tr>
        <w:tc>
          <w:tcPr>
            <w:tcW w:type="dxa" w:w="4706"/>
          </w:tcPr>
          <w:p>
            <w:pPr>
              <w:pStyle w:val="Compact"/>
              <w:jc w:val="left"/>
            </w:pPr>
            <w:r>
              <w:rPr>
                <w:bCs/>
                <w:b/>
              </w:rPr>
              <w:t xml:space="preserve">4 à 6</w:t>
            </w:r>
            <w:r>
              <w:t xml:space="preserve"> </w:t>
            </w:r>
            <w:r>
              <w:t xml:space="preserve">nombres de cœurs (3 minimum)</w:t>
            </w:r>
          </w:p>
        </w:tc>
        <w:tc>
          <w:tcPr>
            <w:tcW w:type="dxa" w:w="4706"/>
          </w:tcPr>
          <w:p>
            <w:pPr>
              <w:pStyle w:val="Compact"/>
              <w:jc w:val="left"/>
            </w:pPr>
            <w:r>
              <w:t xml:space="preserve">en dessous de 3 points, le terme MPI n’est pas identifiable</w:t>
            </w:r>
          </w:p>
        </w:tc>
      </w:tr>
      <w:tr>
        <w:tc>
          <w:tcPr>
            <w:tcW w:type="dxa" w:w="4706"/>
          </w:tcPr>
          <w:p>
            <w:pPr>
              <w:pStyle w:val="Compact"/>
              <w:jc w:val="left"/>
            </w:pPr>
            <w:r>
              <w:t xml:space="preserve">Couvrir un facteur</w:t>
            </w:r>
            <w:r>
              <w:t xml:space="preserve"> </w:t>
            </w:r>
            <w:r>
              <w:rPr>
                <w:bCs/>
                <w:b/>
              </w:rPr>
              <w:t xml:space="preserve">≥ 4</w:t>
            </w:r>
            <w:r>
              <w:t xml:space="preserve"> </w:t>
            </w:r>
            <w:r>
              <w:t xml:space="preserve">(ex. 48 → 1024)</w:t>
            </w:r>
          </w:p>
        </w:tc>
        <w:tc>
          <w:tcPr>
            <w:tcW w:type="dxa" w:w="4706"/>
          </w:tcPr>
          <w:p>
            <w:pPr>
              <w:pStyle w:val="Compact"/>
              <w:jc w:val="left"/>
            </w:pPr>
            <w:r>
              <w:t xml:space="preserve">sinon l’ajustement ne voit aucune dégradation</w:t>
            </w:r>
          </w:p>
        </w:tc>
      </w:tr>
      <w:tr>
        <w:tc>
          <w:tcPr>
            <w:tcW w:type="dxa" w:w="4706"/>
          </w:tcPr>
          <w:p>
            <w:pPr>
              <w:pStyle w:val="Compact"/>
              <w:jc w:val="left"/>
            </w:pPr>
            <w:r>
              <w:t xml:space="preserve">Aller assez haut pour</w:t>
            </w:r>
            <w:r>
              <w:t xml:space="preserve"> </w:t>
            </w:r>
            <w:r>
              <w:rPr>
                <w:bCs/>
                <w:b/>
              </w:rPr>
              <w:t xml:space="preserve">voir</w:t>
            </w:r>
            <w:r>
              <w:t xml:space="preserve"> </w:t>
            </w:r>
            <w:r>
              <w:t xml:space="preserve">la dégradation</w:t>
            </w:r>
          </w:p>
        </w:tc>
        <w:tc>
          <w:tcPr>
            <w:tcW w:type="dxa" w:w="4706"/>
          </w:tcPr>
          <w:p>
            <w:pPr>
              <w:pStyle w:val="Compact"/>
              <w:jc w:val="left"/>
            </w:pPr>
            <w:r>
              <w:t xml:space="preserve">c’est là qu’est la réponse</w:t>
            </w:r>
          </w:p>
        </w:tc>
      </w:tr>
      <w:tr>
        <w:tc>
          <w:tcPr>
            <w:tcW w:type="dxa" w:w="4706"/>
          </w:tcPr>
          <w:p>
            <w:pPr>
              <w:pStyle w:val="Compact"/>
              <w:jc w:val="left"/>
            </w:pPr>
            <w:r>
              <w:t xml:space="preserve">Ignorer les premières itérations</w:t>
            </w:r>
          </w:p>
        </w:tc>
        <w:tc>
          <w:tcPr>
            <w:tcW w:type="dxa" w:w="4706"/>
          </w:tcPr>
          <w:p>
            <w:pPr>
              <w:pStyle w:val="Compact"/>
              <w:jc w:val="left"/>
            </w:pPr>
            <w:r>
              <w:t xml:space="preserve">initialisation et E/S faussent le temps par itération</w:t>
            </w:r>
          </w:p>
        </w:tc>
      </w:tr>
      <w:tr>
        <w:tc>
          <w:tcPr>
            <w:tcW w:type="dxa" w:w="4706"/>
          </w:tcPr>
          <w:p>
            <w:pPr>
              <w:pStyle w:val="Compact"/>
              <w:jc w:val="left"/>
            </w:pPr>
            <w:r>
              <w:t xml:space="preserve">Relever la RAM crête</w:t>
            </w:r>
            <w:r>
              <w:t xml:space="preserve"> </w:t>
            </w:r>
            <w:r>
              <w:rPr>
                <w:bCs/>
                <w:b/>
              </w:rPr>
              <w:t xml:space="preserve">totale</w:t>
            </w:r>
          </w:p>
        </w:tc>
        <w:tc>
          <w:tcPr>
            <w:tcW w:type="dxa" w:w="4706"/>
          </w:tcPr>
          <w:p>
            <w:pPr>
              <w:pStyle w:val="Compact"/>
              <w:jc w:val="left"/>
            </w:pPr>
            <w:r>
              <w:t xml:space="preserve">sans elle, pas de contrainte mémoire</w:t>
            </w:r>
          </w:p>
        </w:tc>
      </w:tr>
    </w:tbl>
    <w:p>
      <w:pPr>
        <w:pStyle w:val="BodyText"/>
      </w:pPr>
      <w:r>
        <w:t xml:space="preserve">Le coût de cette campagne est une fraction du calcul de production. Se tromper</w:t>
      </w:r>
      <w:r>
        <w:t xml:space="preserve"> </w:t>
      </w:r>
      <w:r>
        <w:t xml:space="preserve">d’un facteur 3 sur le dimensionnement coûte beaucoup plus cher.</w:t>
      </w:r>
    </w:p>
    <w:bookmarkEnd w:id="42"/>
    <w:bookmarkStart w:id="43" w:name="Xee3f02dc81cbc5acb934ad2a034ce53018ca079"/>
    <w:p>
      <w:pPr>
        <w:pStyle w:val="Heading3"/>
      </w:pPr>
      <w:r>
        <w:t xml:space="preserve">ÉTAPE 2 — Collecter et écrire le fichier d’étude</w:t>
      </w:r>
    </w:p>
    <w:p>
      <w:pPr>
        <w:pStyle w:val="SourceCode"/>
      </w:pPr>
      <w:r>
        <w:rPr>
          <w:rStyle w:val="ExtensionTok"/>
        </w:rPr>
        <w:t xml:space="preserve">cfd-perf</w:t>
      </w:r>
      <w:r>
        <w:rPr>
          <w:rStyle w:val="NormalTok"/>
        </w:rPr>
        <w:t xml:space="preserve"> capture </w:t>
      </w:r>
      <w:r>
        <w:rPr>
          <w:rStyle w:val="AttributeTok"/>
        </w:rPr>
        <w:t xml:space="preserve">--collect</w:t>
      </w:r>
      <w:r>
        <w:rPr>
          <w:rStyle w:val="NormalTok"/>
        </w:rPr>
        <w:t xml:space="preserve"> </w:t>
      </w:r>
      <w:r>
        <w:rPr>
          <w:rStyle w:val="AttributeTok"/>
        </w:rPr>
        <w:t xml:space="preserve">--case-dir</w:t>
      </w:r>
      <w:r>
        <w:rPr>
          <w:rStyle w:val="NormalTok"/>
        </w:rPr>
        <w:t xml:space="preserve"> . </w:t>
      </w:r>
      <w:r>
        <w:rPr>
          <w:rStyle w:val="AttributeTok"/>
        </w:rPr>
        <w:t xml:space="preserve">--figure</w:t>
      </w:r>
      <w:r>
        <w:rPr>
          <w:rStyle w:val="NormalTok"/>
        </w:rPr>
        <w:t xml:space="preserve"> SORTIE/scalabilite.png</w:t>
      </w:r>
    </w:p>
    <w:p>
      <w:pPr>
        <w:pStyle w:val="FirstParagraph"/>
      </w:pPr>
      <w:r>
        <w:t xml:space="preserve">La collecte relit le manifeste, interroge l’état de chaque job et, s’il en reste</w:t>
      </w:r>
      <w:r>
        <w:t xml:space="preserve"> </w:t>
      </w:r>
      <w:r>
        <w:t xml:space="preserve">qui tournent, les liste et s’arrête proprement (code 3) : on relance plus tard,</w:t>
      </w:r>
      <w:r>
        <w:t xml:space="preserve"> </w:t>
      </w:r>
      <w:r>
        <w:t xml:space="preserve">rien n’est perdu. Pour les runs terminés, elle extrait le temps solveur total, le</w:t>
      </w:r>
      <w:r>
        <w:t xml:space="preserve"> </w:t>
      </w:r>
      <w:r>
        <w:t xml:space="preserve">nombre d’itérations effectuées —</w:t>
      </w:r>
      <w:r>
        <w:t xml:space="preserve"> </w:t>
      </w:r>
      <w:r>
        <w:rPr>
          <w:rStyle w:val="VerbatimChar"/>
        </w:rPr>
        <w:t xml:space="preserve">temps_par_itération = total / itérations</w:t>
      </w:r>
      <w:r>
        <w:t xml:space="preserve"> </w:t>
      </w:r>
      <w:r>
        <w:t xml:space="preserve">— et</w:t>
      </w:r>
      <w:r>
        <w:t xml:space="preserve"> </w:t>
      </w:r>
      <w:r>
        <w:t xml:space="preserve">la RAM crête totale, lue sous SLURM comme</w:t>
      </w:r>
      <w:r>
        <w:t xml:space="preserve"> </w:t>
      </w:r>
      <w:r>
        <w:rPr>
          <w:rStyle w:val="VerbatimChar"/>
        </w:rPr>
        <w:t xml:space="preserve">MaxRSS × NTasks</w:t>
      </w:r>
      <w:r>
        <w:t xml:space="preserve">. Hors SLURM, la RAM</w:t>
      </w:r>
      <w:r>
        <w:t xml:space="preserve"> </w:t>
      </w:r>
      <w:r>
        <w:t xml:space="preserve">n’est simplement pas mesurée et les contraintes mémoire sont ignorées, sans</w:t>
      </w:r>
      <w:r>
        <w:t xml:space="preserve"> </w:t>
      </w:r>
      <w:r>
        <w:t xml:space="preserve">bloquer le reste.</w:t>
      </w:r>
    </w:p>
    <w:p>
      <w:pPr>
        <w:pStyle w:val="BodyText"/>
      </w:pPr>
      <w:r>
        <w:t xml:space="preserve">Elle détecte ensuite la machine, puis écrit un</w:t>
      </w:r>
      <w:r>
        <w:t xml:space="preserve"> </w:t>
      </w:r>
      <w:r>
        <w:rPr>
          <w:rStyle w:val="VerbatimChar"/>
        </w:rPr>
        <w:t xml:space="preserve">ETUDE.yaml</w:t>
      </w:r>
      <w:r>
        <w:t xml:space="preserve"> </w:t>
      </w:r>
      <w:r>
        <w:rPr>
          <w:bCs/>
          <w:b/>
        </w:rPr>
        <w:t xml:space="preserve">validé</w:t>
      </w:r>
      <w:r>
        <w:t xml:space="preserve"> </w:t>
      </w:r>
      <w:r>
        <w:t xml:space="preserve">: un seul</w:t>
      </w:r>
      <w:r>
        <w:t xml:space="preserve"> </w:t>
      </w:r>
      <w:r>
        <w:t xml:space="preserve">fichier, versionnable à côté du cas, qui contient le pilote, le maillage, la</w:t>
      </w:r>
      <w:r>
        <w:t xml:space="preserve"> </w:t>
      </w:r>
      <w:r>
        <w:t xml:space="preserve">machine, les contraintes et l’objectif. C’est ce fichier — et non les répertoires</w:t>
      </w:r>
      <w:r>
        <w:t xml:space="preserve"> </w:t>
      </w:r>
      <w:r>
        <w:t xml:space="preserve">de runs — qui constitue la mémoire de l’étude.</w:t>
      </w:r>
    </w:p>
    <w:p>
      <w:pPr>
        <w:pStyle w:val="BodyText"/>
      </w:pPr>
      <w:r>
        <w:t xml:space="preserve">Deux champs restent à vérifier à la main dans la version actuelle : le nombre</w:t>
      </w:r>
      <w:r>
        <w:t xml:space="preserve"> </w:t>
      </w:r>
      <w:r>
        <w:t xml:space="preserve">d’itérations de production et le nombre de mailles reposent sur des fonctions</w:t>
      </w:r>
      <w:r>
        <w:t xml:space="preserve"> </w:t>
      </w:r>
      <w:r>
        <w:t xml:space="preserve">d’adaptateur volontairement simples. Les options</w:t>
      </w:r>
      <w:r>
        <w:t xml:space="preserve"> </w:t>
      </w:r>
      <w:r>
        <w:rPr>
          <w:rStyle w:val="VerbatimChar"/>
        </w:rPr>
        <w:t xml:space="preserve">--n-iterations</w:t>
      </w:r>
      <w:r>
        <w:t xml:space="preserve"> </w:t>
      </w:r>
      <w:r>
        <w:t xml:space="preserve">et</w:t>
      </w:r>
      <w:r>
        <w:t xml:space="preserve"> </w:t>
      </w:r>
      <w:r>
        <w:rPr>
          <w:rStyle w:val="VerbatimChar"/>
        </w:rPr>
        <w:t xml:space="preserve">--num-cells</w:t>
      </w:r>
      <w:r>
        <w:t xml:space="preserve"> </w:t>
      </w:r>
      <w:r>
        <w:t xml:space="preserve">permettent de les imposer.</w:t>
      </w:r>
    </w:p>
    <w:bookmarkEnd w:id="43"/>
    <w:bookmarkStart w:id="44" w:name="Xa46fc5df1d56ef82c5e8b6dcf7466cca52d040e"/>
    <w:p>
      <w:pPr>
        <w:pStyle w:val="Heading3"/>
      </w:pPr>
      <w:r>
        <w:t xml:space="preserve">ÉTAPE 3 — Ajuster le modèle et contrôler l’ajustement</w:t>
      </w:r>
    </w:p>
    <w:p>
      <w:pPr>
        <w:pStyle w:val="FirstParagraph"/>
      </w:pPr>
      <w:r>
        <w:t xml:space="preserve">À</w:t>
      </w:r>
      <w:r>
        <w:t xml:space="preserve"> </w:t>
      </w:r>
      <m:oMath>
        <m:r>
          <m:t>γ</m:t>
        </m:r>
      </m:oMath>
      <w:r>
        <w:t xml:space="preserve"> </w:t>
      </w:r>
      <w:r>
        <w:t xml:space="preserve">fixé, le modèle est linéaire en</w:t>
      </w:r>
      <w:r>
        <w:t xml:space="preserve"> </w:t>
      </w:r>
      <m:oMath>
        <m:d>
          <m:dPr>
            <m:begChr m:val="("/>
            <m:endChr m:val=")"/>
            <m:sepChr m:val=""/>
            <m:grow/>
          </m:dPr>
          <m:e>
            <m:sSub>
              <m:e>
                <m:r>
                  <m:t>t</m:t>
                </m:r>
              </m:e>
              <m:sub>
                <m:r>
                  <m:t>s</m:t>
                </m:r>
                <m:r>
                  <m:t>e</m:t>
                </m:r>
                <m:r>
                  <m:t>r</m:t>
                </m:r>
              </m:sub>
            </m:sSub>
            <m:r>
              <m:rPr>
                <m:sty m:val="p"/>
              </m:rPr>
              <m:t>,</m:t>
            </m:r>
            <m:sSub>
              <m:e>
                <m:r>
                  <m:t>t</m:t>
                </m:r>
              </m:e>
              <m:sub>
                <m:r>
                  <m:t>p</m:t>
                </m:r>
                <m:r>
                  <m:t>a</m:t>
                </m:r>
                <m:r>
                  <m:t>r</m:t>
                </m:r>
              </m:sub>
            </m:sSub>
            <m:r>
              <m:rPr>
                <m:sty m:val="p"/>
              </m:rPr>
              <m:t>,</m:t>
            </m:r>
            <m:sSub>
              <m:e>
                <m:r>
                  <m:t>t</m:t>
                </m:r>
              </m:e>
              <m:sub>
                <m:r>
                  <m:t>c</m:t>
                </m:r>
                <m:r>
                  <m:t>o</m:t>
                </m:r>
                <m:r>
                  <m:t>m</m:t>
                </m:r>
                <m:r>
                  <m:t>m</m:t>
                </m:r>
              </m:sub>
            </m:sSub>
          </m:e>
        </m:d>
      </m:oMath>
      <w:r>
        <w:t xml:space="preserve">. On</w:t>
      </w:r>
      <w:r>
        <w:t xml:space="preserve"> </w:t>
      </w:r>
      <w:r>
        <w:t xml:space="preserve">balaie donc</w:t>
      </w:r>
      <w:r>
        <w:t xml:space="preserve"> </w:t>
      </w:r>
      <m:oMath>
        <m:r>
          <m:t>γ</m:t>
        </m:r>
      </m:oMath>
      <w:r>
        <w:t xml:space="preserve"> </w:t>
      </w:r>
      <w:r>
        <w:t xml:space="preserve">sur une grille et on résout un moindres carrés linéaire pour</w:t>
      </w:r>
      <w:r>
        <w:t xml:space="preserve"> </w:t>
      </w:r>
      <w:r>
        <w:t xml:space="preserve">chaque valeur, en gardant la meilleure. Deux détails comptent sur des données</w:t>
      </w:r>
      <w:r>
        <w:t xml:space="preserve"> </w:t>
      </w:r>
      <w:r>
        <w:t xml:space="preserve">réelles : les résidus sont pondérés en</w:t>
      </w:r>
      <w:r>
        <w:t xml:space="preserve"> </w:t>
      </w:r>
      <w:r>
        <w:rPr>
          <w:bCs/>
          <w:b/>
        </w:rPr>
        <w:t xml:space="preserve">relatif</w:t>
      </w:r>
      <w:r>
        <w:t xml:space="preserve">, sans quoi les points lents à</w:t>
      </w:r>
      <w:r>
        <w:t xml:space="preserve"> </w:t>
      </w:r>
      <w:r>
        <w:t xml:space="preserve">bas nombre de cœurs écrasent numériquement les points rapides — précisément ceux</w:t>
      </w:r>
      <w:r>
        <w:t xml:space="preserve"> </w:t>
      </w:r>
      <w:r>
        <w:t xml:space="preserve">qui décident de la réponse ; et les coefficients sont contraints</w:t>
      </w:r>
      <w:r>
        <w:t xml:space="preserve"> </w:t>
      </w:r>
      <w:r>
        <w:rPr>
          <w:bCs/>
          <w:b/>
        </w:rPr>
        <w:t xml:space="preserve">positifs</w:t>
      </w:r>
      <w:r>
        <w:t xml:space="preserve">,</w:t>
      </w:r>
      <w:r>
        <w:t xml:space="preserve"> </w:t>
      </w:r>
      <w:r>
        <w:t xml:space="preserve">puisque ce sont des temps physiques.</w:t>
      </w:r>
    </w:p>
    <w:p>
      <w:pPr>
        <w:pStyle w:val="BodyText"/>
      </w:pPr>
      <w:r>
        <w:t xml:space="preserve">La qualité de l’ajustement est un résultat de premier plan, toujours affiché :</w:t>
      </w:r>
    </w:p>
    <w:tbl>
      <w:tblPr>
        <w:tblStyle w:val="Table"/>
        <w:tblW w:type="auto" w:w="0"/>
        <w:tblLayout w:type="fixed"/>
        <w:tblLook w:firstRow="1" w:lastRow="0" w:firstColumn="0" w:lastColumn="0" w:noHBand="0" w:noVBand="0" w:val="0020"/>
        <w:jc w:val="start"/>
      </w:tblPr>
      <w:tblGrid>
        <w:gridCol w:w="3137"/>
        <w:gridCol w:w="3137"/>
        <w:gridCol w:w="3137"/>
      </w:tblGrid>
      <w:tr>
        <w:trPr>
          <w:tblHeader w:val="true"/>
        </w:trPr>
        <w:tc>
          <w:tcPr>
            <w:tcW w:type="dxa" w:w="3137"/>
          </w:tcPr>
          <w:p>
            <w:pPr>
              <w:pStyle w:val="Compact"/>
              <w:jc w:val="left"/>
            </w:pPr>
            <w:r>
              <w:t xml:space="preserve">Verdict</w:t>
            </w:r>
          </w:p>
        </w:tc>
        <w:tc>
          <w:tcPr>
            <w:tcW w:type="dxa" w:w="3137"/>
          </w:tcPr>
          <w:p>
            <w:pPr>
              <w:pStyle w:val="Compact"/>
              <w:jc w:val="right"/>
            </w:pPr>
            <w:r>
              <w:t xml:space="preserve">Erreur max</w:t>
            </w:r>
          </w:p>
        </w:tc>
        <w:tc>
          <w:tcPr>
            <w:tcW w:type="dxa" w:w="3137"/>
          </w:tcPr>
          <w:p>
            <w:pPr>
              <w:pStyle w:val="Compact"/>
              <w:jc w:val="left"/>
            </w:pPr>
            <w:r>
              <w:t xml:space="preserve">Interprétation</w:t>
            </w:r>
          </w:p>
        </w:tc>
      </w:tr>
      <w:tr>
        <w:tc>
          <w:tcPr>
            <w:tcW w:type="dxa" w:w="3137"/>
          </w:tcPr>
          <w:p>
            <w:pPr>
              <w:pStyle w:val="Compact"/>
              <w:jc w:val="left"/>
            </w:pPr>
            <w:r>
              <w:t xml:space="preserve">excellent</w:t>
            </w:r>
          </w:p>
        </w:tc>
        <w:tc>
          <w:tcPr>
            <w:tcW w:type="dxa" w:w="3137"/>
          </w:tcPr>
          <w:p>
            <w:pPr>
              <w:pStyle w:val="Compact"/>
              <w:jc w:val="right"/>
            </w:pPr>
            <w:r>
              <w:t xml:space="preserve">≤ 2 %</w:t>
            </w:r>
          </w:p>
        </w:tc>
        <w:tc>
          <w:tcPr>
            <w:tcW w:type="dxa" w:w="3137"/>
          </w:tcPr>
          <w:p>
            <w:pPr>
              <w:pStyle w:val="Compact"/>
              <w:jc w:val="left"/>
            </w:pPr>
            <w:r>
              <w:t xml:space="preserve">—</w:t>
            </w:r>
          </w:p>
        </w:tc>
      </w:tr>
      <w:tr>
        <w:tc>
          <w:tcPr>
            <w:tcW w:type="dxa" w:w="3137"/>
          </w:tcPr>
          <w:p>
            <w:pPr>
              <w:pStyle w:val="Compact"/>
              <w:jc w:val="left"/>
            </w:pPr>
            <w:r>
              <w:t xml:space="preserve">bon</w:t>
            </w:r>
          </w:p>
        </w:tc>
        <w:tc>
          <w:tcPr>
            <w:tcW w:type="dxa" w:w="3137"/>
          </w:tcPr>
          <w:p>
            <w:pPr>
              <w:pStyle w:val="Compact"/>
              <w:jc w:val="right"/>
            </w:pPr>
            <w:r>
              <w:t xml:space="preserve">≤ 5 %</w:t>
            </w:r>
          </w:p>
        </w:tc>
        <w:tc>
          <w:tcPr>
            <w:tcW w:type="dxa" w:w="3137"/>
          </w:tcPr>
          <w:p>
            <w:pPr>
              <w:pStyle w:val="Compact"/>
              <w:jc w:val="left"/>
            </w:pPr>
            <w:r>
              <w:t xml:space="preserve">comparable à la gigue d’un calculateur réel</w:t>
            </w:r>
          </w:p>
        </w:tc>
      </w:tr>
      <w:tr>
        <w:tc>
          <w:tcPr>
            <w:tcW w:type="dxa" w:w="3137"/>
          </w:tcPr>
          <w:p>
            <w:pPr>
              <w:pStyle w:val="Compact"/>
              <w:jc w:val="left"/>
            </w:pPr>
            <w:r>
              <w:t xml:space="preserve">limite</w:t>
            </w:r>
          </w:p>
        </w:tc>
        <w:tc>
          <w:tcPr>
            <w:tcW w:type="dxa" w:w="3137"/>
          </w:tcPr>
          <w:p>
            <w:pPr>
              <w:pStyle w:val="Compact"/>
              <w:jc w:val="right"/>
            </w:pPr>
            <w:r>
              <w:t xml:space="preserve">≤ 10 %</w:t>
            </w:r>
          </w:p>
        </w:tc>
        <w:tc>
          <w:tcPr>
            <w:tcW w:type="dxa" w:w="3137"/>
          </w:tcPr>
          <w:p>
            <w:pPr>
              <w:pStyle w:val="Compact"/>
              <w:jc w:val="left"/>
            </w:pPr>
            <w:r>
              <w:t xml:space="preserve">ajouter des points pilotes</w:t>
            </w:r>
          </w:p>
        </w:tc>
      </w:tr>
      <w:tr>
        <w:tc>
          <w:tcPr>
            <w:tcW w:type="dxa" w:w="3137"/>
          </w:tcPr>
          <w:p>
            <w:pPr>
              <w:pStyle w:val="Compact"/>
              <w:jc w:val="left"/>
            </w:pPr>
            <w:r>
              <w:t xml:space="preserve">mauvais</w:t>
            </w:r>
          </w:p>
        </w:tc>
        <w:tc>
          <w:tcPr>
            <w:tcW w:type="dxa" w:w="3137"/>
          </w:tcPr>
          <w:p>
            <w:pPr>
              <w:pStyle w:val="Compact"/>
              <w:jc w:val="right"/>
            </w:pPr>
            <w:r>
              <w:t xml:space="preserve">&gt; 10 %</w:t>
            </w:r>
          </w:p>
        </w:tc>
        <w:tc>
          <w:tcPr>
            <w:tcW w:type="dxa" w:w="3137"/>
          </w:tcPr>
          <w:p>
            <w:pPr>
              <w:pStyle w:val="Compact"/>
              <w:jc w:val="left"/>
            </w:pPr>
            <w:r>
              <w:rPr>
                <w:bCs/>
                <w:b/>
              </w:rPr>
              <w:t xml:space="preserve">ne pas décider sur cette base</w:t>
            </w:r>
          </w:p>
        </w:tc>
      </w:tr>
    </w:tbl>
    <w:p>
      <w:pPr>
        <w:pStyle w:val="BodyText"/>
      </w:pPr>
      <w:r>
        <w:t xml:space="preserve">Le rapport donne l’écart</w:t>
      </w:r>
      <w:r>
        <w:t xml:space="preserve"> </w:t>
      </w:r>
      <w:r>
        <w:rPr>
          <w:bCs/>
          <w:b/>
        </w:rPr>
        <w:t xml:space="preserve">point par point</w:t>
      </w:r>
      <w:r>
        <w:t xml:space="preserve">, ce qui rend une mauvaise campagne</w:t>
      </w:r>
      <w:r>
        <w:t xml:space="preserve"> </w:t>
      </w:r>
      <w:r>
        <w:t xml:space="preserve">visible en chiffres avant même d’ouvrir la figure :</w:t>
      </w:r>
    </w:p>
    <w:p>
      <w:pPr>
        <w:pStyle w:val="SourceCode"/>
      </w:pPr>
      <w:r>
        <w:rPr>
          <w:rStyle w:val="VerbatimChar"/>
        </w:rPr>
        <w:t xml:space="preserve"> Cœurs    Mesuré    Prédit   Erreur</w:t>
      </w:r>
      <w:r>
        <w:br/>
      </w:r>
      <w:r>
        <w:rPr>
          <w:rStyle w:val="VerbatimChar"/>
        </w:rPr>
        <w:t xml:space="preserve"> ──────────────────────────────────</w:t>
      </w:r>
      <w:r>
        <w:br/>
      </w:r>
      <w:r>
        <w:rPr>
          <w:rStyle w:val="VerbatimChar"/>
        </w:rPr>
        <w:t xml:space="preserve">    48   3,850 s   3,803 s   −1,2 %</w:t>
      </w:r>
      <w:r>
        <w:br/>
      </w:r>
      <w:r>
        <w:rPr>
          <w:rStyle w:val="VerbatimChar"/>
        </w:rPr>
        <w:t xml:space="preserve">    96   2,180 s   2,208 s   +1,3 %</w:t>
      </w:r>
      <w:r>
        <w:br/>
      </w:r>
      <w:r>
        <w:rPr>
          <w:rStyle w:val="VerbatimChar"/>
        </w:rPr>
        <w:t xml:space="preserve">   192   1,410 s   1,427 s   +1,2 %</w:t>
      </w:r>
      <w:r>
        <w:br/>
      </w:r>
      <w:r>
        <w:rPr>
          <w:rStyle w:val="VerbatimChar"/>
        </w:rPr>
        <w:t xml:space="preserve">   384   1,120 s   1,092 s   −2,5 %</w:t>
      </w:r>
      <w:r>
        <w:br/>
      </w:r>
      <w:r>
        <w:rPr>
          <w:rStyle w:val="VerbatimChar"/>
        </w:rPr>
        <w:t xml:space="preserve">   576   1,050 s   1,055 s   +0,5 %</w:t>
      </w:r>
      <w:r>
        <w:br/>
      </w:r>
      <w:r>
        <w:rPr>
          <w:rStyle w:val="VerbatimChar"/>
        </w:rPr>
        <w:t xml:space="preserve">   768   1,100 s   1,114 s   +1,2 %</w:t>
      </w:r>
      <w:r>
        <w:br/>
      </w:r>
      <w:r>
        <w:rPr>
          <w:rStyle w:val="VerbatimChar"/>
        </w:rPr>
        <w:t xml:space="preserve">  1024   1,280 s   1,272 s   −0,6 %</w:t>
      </w:r>
    </w:p>
    <w:bookmarkEnd w:id="44"/>
    <w:bookmarkStart w:id="48" w:name="étape-4-décider"/>
    <w:p>
      <w:pPr>
        <w:pStyle w:val="Heading3"/>
      </w:pPr>
      <w:r>
        <w:t xml:space="preserve">ÉTAPE 4 — Décider</w:t>
      </w:r>
    </w:p>
    <w:p>
      <w:pPr>
        <w:pStyle w:val="FirstParagraph"/>
      </w:pPr>
      <w:r>
        <w:t xml:space="preserve">L’outil balaie les nombres de cœurs candidats, calcule pour chacun durée, coût,</w:t>
      </w:r>
      <w:r>
        <w:t xml:space="preserve"> </w:t>
      </w:r>
      <w:r>
        <w:t xml:space="preserve">efficacité et mémoire par cœur, écarte ceux qui violent une contrainte</w:t>
      </w:r>
      <w:r>
        <w:t xml:space="preserve"> </w:t>
      </w:r>
      <w:r>
        <w:t xml:space="preserve">(mailles/cœur, RAM par nœud, nombre de nœuds, walltime, budget), puis applique la</w:t>
      </w:r>
      <w:r>
        <w:t xml:space="preserve"> </w:t>
      </w:r>
      <w:r>
        <w:t xml:space="preserve">stratégie demandée.</w:t>
      </w:r>
    </w:p>
    <w:p>
      <w:pPr>
        <w:pStyle w:val="CaptionedFigure"/>
      </w:pPr>
      <w:r>
        <w:drawing>
          <wp:inline>
            <wp:extent cx="5976000" cy="2372964"/>
            <wp:effectExtent b="0" l="0" r="0" t="0"/>
            <wp:docPr descr="Figure 7 — Même courbe, mêmes contraintes : seule la question posée change la réponse." title="" id="46" name="Picture"/>
            <a:graphic>
              <a:graphicData uri="http://schemas.openxmlformats.org/drawingml/2006/picture">
                <pic:pic>
                  <pic:nvPicPr>
                    <pic:cNvPr descr="../FIGURES/02_strategies.png" id="47" name="Picture"/>
                    <pic:cNvPicPr>
                      <a:picLocks noChangeArrowheads="1" noChangeAspect="1"/>
                    </pic:cNvPicPr>
                  </pic:nvPicPr>
                  <pic:blipFill>
                    <a:blip r:embed="rId45"/>
                    <a:stretch>
                      <a:fillRect/>
                    </a:stretch>
                  </pic:blipFill>
                  <pic:spPr bwMode="auto">
                    <a:xfrm>
                      <a:off x="0" y="0"/>
                      <a:ext cx="5976000" cy="2372964"/>
                    </a:xfrm>
                    <a:prstGeom prst="rect">
                      <a:avLst/>
                    </a:prstGeom>
                    <a:noFill/>
                    <a:ln w="9525">
                      <a:noFill/>
                      <a:headEnd/>
                      <a:tailEnd/>
                    </a:ln>
                  </pic:spPr>
                </pic:pic>
              </a:graphicData>
            </a:graphic>
          </wp:inline>
        </w:drawing>
      </w:r>
    </w:p>
    <w:p>
      <w:pPr>
        <w:pStyle w:val="ImageCaption"/>
      </w:pPr>
      <w:r>
        <w:t xml:space="preserve">Figure 7 — Même courbe, mêmes contraintes : seule la question posée change la réponse.</w:t>
      </w:r>
    </w:p>
    <w:tbl>
      <w:tblPr>
        <w:tblStyle w:val="Table"/>
        <w:tblW w:type="pct" w:w="5000"/>
        <w:tblLayout w:type="fixed"/>
        <w:tblLook w:firstRow="1" w:lastRow="0" w:firstColumn="0" w:lastColumn="0" w:noHBand="0" w:noVBand="0" w:val="0020"/>
        <w:jc w:val="start"/>
      </w:tblPr>
      <w:tblGrid>
        <w:gridCol w:w="3137"/>
        <w:gridCol w:w="3137"/>
        <w:gridCol w:w="3137"/>
      </w:tblGrid>
      <w:tr>
        <w:trPr>
          <w:tblHeader w:val="true"/>
        </w:trPr>
        <w:tc>
          <w:tcPr>
            <w:tcW w:type="dxa" w:w="3137"/>
          </w:tcPr>
          <w:p>
            <w:pPr>
              <w:pStyle w:val="Compact"/>
              <w:jc w:val="left"/>
            </w:pPr>
            <w:r>
              <w:t xml:space="preserve">Stratégie</w:t>
            </w:r>
          </w:p>
        </w:tc>
        <w:tc>
          <w:tcPr>
            <w:tcW w:type="dxa" w:w="3137"/>
          </w:tcPr>
          <w:p>
            <w:pPr>
              <w:pStyle w:val="Compact"/>
              <w:jc w:val="left"/>
            </w:pPr>
            <w:r>
              <w:t xml:space="preserve">Question posée</w:t>
            </w:r>
          </w:p>
        </w:tc>
        <w:tc>
          <w:tcPr>
            <w:tcW w:type="dxa" w:w="3137"/>
          </w:tcPr>
          <w:p>
            <w:pPr>
              <w:pStyle w:val="Compact"/>
              <w:jc w:val="left"/>
            </w:pPr>
            <w:r>
              <w:t xml:space="preserve">Règle appliquée</w:t>
            </w:r>
          </w:p>
        </w:tc>
      </w:tr>
      <w:tr>
        <w:tc>
          <w:tcPr>
            <w:tcW w:type="dxa" w:w="3137"/>
          </w:tcPr>
          <w:p>
            <w:pPr>
              <w:pStyle w:val="Compact"/>
              <w:jc w:val="left"/>
            </w:pPr>
            <w:r>
              <w:rPr>
                <w:rStyle w:val="VerbatimChar"/>
              </w:rPr>
              <w:t xml:space="preserve">efficiency</w:t>
            </w:r>
            <w:r>
              <w:t xml:space="preserve"> </w:t>
            </w:r>
            <w:r>
              <w:rPr>
                <w:iCs/>
                <w:i/>
              </w:rPr>
              <w:t xml:space="preserve">(défaut)</w:t>
            </w:r>
          </w:p>
        </w:tc>
        <w:tc>
          <w:tcPr>
            <w:tcW w:type="dxa" w:w="3137"/>
          </w:tcPr>
          <w:p>
            <w:pPr>
              <w:pStyle w:val="Compact"/>
              <w:jc w:val="left"/>
            </w:pPr>
            <w:r>
              <w:t xml:space="preserve">« je ne veux pas gaspiller l’allocation »</w:t>
            </w:r>
          </w:p>
        </w:tc>
        <w:tc>
          <w:tcPr>
            <w:tcW w:type="dxa" w:w="3137"/>
          </w:tcPr>
          <w:p>
            <w:pPr>
              <w:pStyle w:val="Compact"/>
              <w:jc w:val="left"/>
            </w:pPr>
            <w:r>
              <w:t xml:space="preserve">le plus de cœurs en restant sous le seuil de perte (30 % par défaut)</w:t>
            </w:r>
          </w:p>
        </w:tc>
      </w:tr>
      <w:tr>
        <w:tc>
          <w:tcPr>
            <w:tcW w:type="dxa" w:w="3137"/>
          </w:tcPr>
          <w:p>
            <w:pPr>
              <w:pStyle w:val="Compact"/>
              <w:jc w:val="left"/>
            </w:pPr>
            <w:r>
              <w:rPr>
                <w:rStyle w:val="VerbatimChar"/>
              </w:rPr>
              <w:t xml:space="preserve">deadline</w:t>
            </w:r>
          </w:p>
        </w:tc>
        <w:tc>
          <w:tcPr>
            <w:tcW w:type="dxa" w:w="3137"/>
          </w:tcPr>
          <w:p>
            <w:pPr>
              <w:pStyle w:val="Compact"/>
              <w:jc w:val="left"/>
            </w:pPr>
            <w:r>
              <w:t xml:space="preserve">« il me le faut pour lundi »</w:t>
            </w:r>
          </w:p>
        </w:tc>
        <w:tc>
          <w:tcPr>
            <w:tcW w:type="dxa" w:w="3137"/>
          </w:tcPr>
          <w:p>
            <w:pPr>
              <w:pStyle w:val="Compact"/>
              <w:jc w:val="left"/>
            </w:pPr>
            <w:r>
              <w:t xml:space="preserve">le moins de cœurs qui tiennent l’échéance</w:t>
            </w:r>
          </w:p>
        </w:tc>
      </w:tr>
      <w:tr>
        <w:tc>
          <w:tcPr>
            <w:tcW w:type="dxa" w:w="3137"/>
          </w:tcPr>
          <w:p>
            <w:pPr>
              <w:pStyle w:val="Compact"/>
              <w:jc w:val="left"/>
            </w:pPr>
            <w:r>
              <w:rPr>
                <w:rStyle w:val="VerbatimChar"/>
              </w:rPr>
              <w:t xml:space="preserve">fastest</w:t>
            </w:r>
          </w:p>
        </w:tc>
        <w:tc>
          <w:tcPr>
            <w:tcW w:type="dxa" w:w="3137"/>
          </w:tcPr>
          <w:p>
            <w:pPr>
              <w:pStyle w:val="Compact"/>
              <w:jc w:val="left"/>
            </w:pPr>
            <w:r>
              <w:t xml:space="preserve">« le plus vite possible, peu importe le coût »</w:t>
            </w:r>
          </w:p>
        </w:tc>
        <w:tc>
          <w:tcPr>
            <w:tcW w:type="dxa" w:w="3137"/>
          </w:tcPr>
          <w:p>
            <w:pPr>
              <w:pStyle w:val="Compact"/>
              <w:jc w:val="left"/>
            </w:pPr>
            <w:r>
              <w:t xml:space="preserve">durée minimale</w:t>
            </w:r>
          </w:p>
        </w:tc>
      </w:tr>
    </w:tbl>
    <w:p>
      <w:pPr>
        <w:pStyle w:val="BodyText"/>
      </w:pPr>
      <w:r>
        <w:t xml:space="preserve">Sur le cas de référence, les trois questions donnent trois réponses : 144 cœurs</w:t>
      </w:r>
      <w:r>
        <w:t xml:space="preserve"> </w:t>
      </w:r>
      <w:r>
        <w:t xml:space="preserve">en efficacité (5,6 h, 808 h·cœur), 240 cœurs pour une échéance à 4,5 h, 528 cœurs</w:t>
      </w:r>
      <w:r>
        <w:t xml:space="preserve"> </w:t>
      </w:r>
      <w:r>
        <w:t xml:space="preserve">au plus rapide (3,5 h mais 1 853 h·cœur, soit +129 % de coût pour −37 % de</w:t>
      </w:r>
      <w:r>
        <w:t xml:space="preserve"> </w:t>
      </w:r>
      <w:r>
        <w:t xml:space="preserve">durée).</w:t>
      </w:r>
    </w:p>
    <w:p>
      <w:pPr>
        <w:pStyle w:val="BlockText"/>
      </w:pPr>
      <w:r>
        <w:rPr>
          <w:rStyle w:val="VerbatimChar"/>
          <w:bCs/>
          <w:b/>
        </w:rPr>
        <w:t xml:space="preserve">fastest</w:t>
      </w:r>
      <w:r>
        <w:rPr>
          <w:bCs/>
          <w:b/>
        </w:rPr>
        <w:t xml:space="preserve"> </w:t>
      </w:r>
      <w:r>
        <w:rPr>
          <w:bCs/>
          <w:b/>
        </w:rPr>
        <w:t xml:space="preserve">n’est jamais « le maximum de cœurs ».</w:t>
      </w:r>
      <w:r>
        <w:t xml:space="preserve"> </w:t>
      </w:r>
      <w:r>
        <w:t xml:space="preserve">La courbe a un minimum :</w:t>
      </w:r>
      <w:r>
        <w:t xml:space="preserve"> </w:t>
      </w:r>
      <w:r>
        <w:t xml:space="preserve">au-delà, plus de cœurs signifie plus lent</w:t>
      </w:r>
      <w:r>
        <w:t xml:space="preserve"> </w:t>
      </w:r>
      <w:r>
        <w:rPr>
          <w:iCs/>
          <w:i/>
        </w:rPr>
        <w:t xml:space="preserve">et</w:t>
      </w:r>
      <w:r>
        <w:t xml:space="preserve"> </w:t>
      </w:r>
      <w:r>
        <w:t xml:space="preserve">plus cher. L’outil ne franchit</w:t>
      </w:r>
      <w:r>
        <w:t xml:space="preserve"> </w:t>
      </w:r>
      <w:r>
        <w:t xml:space="preserve">jamais ce point.</w:t>
      </w:r>
    </w:p>
    <w:bookmarkEnd w:id="48"/>
    <w:bookmarkStart w:id="49" w:name="étape-5-documenter"/>
    <w:p>
      <w:pPr>
        <w:pStyle w:val="Heading3"/>
      </w:pPr>
      <w:r>
        <w:t xml:space="preserve">ÉTAPE 5 — Documenter</w:t>
      </w:r>
    </w:p>
    <w:p>
      <w:pPr>
        <w:pStyle w:val="FirstParagraph"/>
      </w:pPr>
      <w:r>
        <w:t xml:space="preserve">La documentation n’est pas une étape de fin de projet : c’est la sortie normale</w:t>
      </w:r>
      <w:r>
        <w:t xml:space="preserve"> </w:t>
      </w:r>
      <w:r>
        <w:t xml:space="preserve">de la commande. Le rapport est ordonné</w:t>
      </w:r>
      <w:r>
        <w:t xml:space="preserve"> </w:t>
      </w:r>
      <w:r>
        <w:rPr>
          <w:bCs/>
          <w:b/>
        </w:rPr>
        <w:t xml:space="preserve">délibérément</w:t>
      </w:r>
      <w:r>
        <w:t xml:space="preserve"> </w:t>
      </w:r>
      <w:r>
        <w:t xml:space="preserve">— la réponse d’abord, les</w:t>
      </w:r>
      <w:r>
        <w:t xml:space="preserve"> </w:t>
      </w:r>
      <w:r>
        <w:t xml:space="preserve">réserves ensuite (jamais enterrées plus bas), puis les alternatives, puis la</w:t>
      </w:r>
      <w:r>
        <w:t xml:space="preserve"> </w:t>
      </w:r>
      <w:r>
        <w:t xml:space="preserve">justification complète : données d’entrée, modèle ajusté, écart point par point,</w:t>
      </w:r>
      <w:r>
        <w:t xml:space="preserve"> </w:t>
      </w:r>
      <w:r>
        <w:t xml:space="preserve">courbe candidate par candidate.</w:t>
      </w:r>
    </w:p>
    <w:p>
      <w:pPr>
        <w:pStyle w:val="SourceCode"/>
      </w:pPr>
      <w:r>
        <w:rPr>
          <w:rStyle w:val="VerbatimChar"/>
        </w:rPr>
        <w:t xml:space="preserve">╭──── Réponse  (efficacité : le plus de cœurs sans gaspiller) ─────╮</w:t>
      </w:r>
      <w:r>
        <w:br/>
      </w:r>
      <w:r>
        <w:rPr>
          <w:rStyle w:val="VerbatimChar"/>
        </w:rPr>
        <w:t xml:space="preserve">│ Lancer sur 144 cœurs  =  3 nœuds de 48 cœurs                     │</w:t>
      </w:r>
      <w:r>
        <w:br/>
      </w:r>
      <w:r>
        <w:rPr>
          <w:rStyle w:val="VerbatimChar"/>
        </w:rPr>
        <w:t xml:space="preserve">│                                                                  │</w:t>
      </w:r>
      <w:r>
        <w:br/>
      </w:r>
      <w:r>
        <w:rPr>
          <w:rStyle w:val="VerbatimChar"/>
        </w:rPr>
        <w:t xml:space="preserve">│        Durée  5,6 h              ← durée d'horloge               │</w:t>
      </w:r>
      <w:r>
        <w:br/>
      </w:r>
      <w:r>
        <w:rPr>
          <w:rStyle w:val="VerbatimChar"/>
        </w:rPr>
        <w:t xml:space="preserve">│         Coût  808 h·cœur         ← ce qui est facturé            │</w:t>
      </w:r>
      <w:r>
        <w:br/>
      </w:r>
      <w:r>
        <w:rPr>
          <w:rStyle w:val="VerbatimChar"/>
        </w:rPr>
        <w:t xml:space="preserve">│ Accélération  2,3× vs 48 cœurs                                   │</w:t>
      </w:r>
      <w:r>
        <w:br/>
      </w:r>
      <w:r>
        <w:rPr>
          <w:rStyle w:val="VerbatimChar"/>
        </w:rPr>
        <w:t xml:space="preserve">│   Efficacité  75 %  (25 % perdu)                                 │</w:t>
      </w:r>
      <w:r>
        <w:br/>
      </w:r>
      <w:r>
        <w:rPr>
          <w:rStyle w:val="VerbatimChar"/>
        </w:rPr>
        <w:t xml:space="preserve">│       Charge  138 889 mailles/cœur                               │</w:t>
      </w:r>
      <w:r>
        <w:br/>
      </w:r>
      <w:r>
        <w:rPr>
          <w:rStyle w:val="VerbatimChar"/>
        </w:rPr>
        <w:t xml:space="preserve">│      Mémoire  1,03 Go/cœur                                       │</w:t>
      </w:r>
      <w:r>
        <w:br/>
      </w:r>
      <w:r>
        <w:rPr>
          <w:rStyle w:val="VerbatimChar"/>
        </w:rPr>
        <w:t xml:space="preserve">╰──────────────────────────────────────────────────────────────────╯</w:t>
      </w:r>
    </w:p>
    <w:p>
      <w:pPr>
        <w:pStyle w:val="FirstParagraph"/>
      </w:pPr>
      <w:r>
        <w:t xml:space="preserve">Deux commandes suffisent à produire la trace écrite complète :</w:t>
      </w:r>
    </w:p>
    <w:p>
      <w:pPr>
        <w:pStyle w:val="SourceCode"/>
      </w:pPr>
      <w:r>
        <w:rPr>
          <w:rStyle w:val="ExtensionTok"/>
        </w:rPr>
        <w:t xml:space="preserve">cfd-perf</w:t>
      </w:r>
      <w:r>
        <w:rPr>
          <w:rStyle w:val="NormalTok"/>
        </w:rPr>
        <w:t xml:space="preserve"> run ETUDE.yaml </w:t>
      </w:r>
      <w:r>
        <w:rPr>
          <w:rStyle w:val="AttributeTok"/>
        </w:rPr>
        <w:t xml:space="preserve">--figure</w:t>
      </w:r>
      <w:r>
        <w:rPr>
          <w:rStyle w:val="NormalTok"/>
        </w:rPr>
        <w:t xml:space="preserve"> SORTIE/scalabilite.png </w:t>
      </w:r>
      <w:r>
        <w:rPr>
          <w:rStyle w:val="AttributeTok"/>
        </w:rPr>
        <w:t xml:space="preserve">-v</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SORTIE/rapport.txt</w:t>
      </w:r>
    </w:p>
    <w:p>
      <w:pPr>
        <w:pStyle w:val="FirstParagraph"/>
      </w:pPr>
      <w:r>
        <w:t xml:space="preserve">La figure et le rapport se lisent ensemble : la figure montre</w:t>
      </w:r>
      <w:r>
        <w:t xml:space="preserve"> </w:t>
      </w:r>
      <w:r>
        <w:rPr>
          <w:iCs/>
          <w:i/>
        </w:rPr>
        <w:t xml:space="preserve">où</w:t>
      </w:r>
      <w:r>
        <w:t xml:space="preserve"> </w:t>
      </w:r>
      <w:r>
        <w:t xml:space="preserve">se situe la</w:t>
      </w:r>
      <w:r>
        <w:t xml:space="preserve"> </w:t>
      </w:r>
      <w:r>
        <w:t xml:space="preserve">réponse sur la courbe et si l’on extrapole hors de la plage pilote ; le rapport</w:t>
      </w:r>
      <w:r>
        <w:t xml:space="preserve"> </w:t>
      </w:r>
      <w:r>
        <w:t xml:space="preserve">donne les chiffres et les réserves.</w:t>
      </w:r>
    </w:p>
    <w:bookmarkEnd w:id="49"/>
    <w:bookmarkStart w:id="53" w:name="étape-6-archiver"/>
    <w:p>
      <w:pPr>
        <w:pStyle w:val="Heading3"/>
      </w:pPr>
      <w:r>
        <w:t xml:space="preserve">ÉTAPE 6 — Archiver</w:t>
      </w:r>
    </w:p>
    <w:p>
      <w:pPr>
        <w:pStyle w:val="CaptionedFigure"/>
      </w:pPr>
      <w:r>
        <w:drawing>
          <wp:inline>
            <wp:extent cx="5976000" cy="3192390"/>
            <wp:effectExtent b="0" l="0" r="0" t="0"/>
            <wp:docPr descr="Figure 8 — Ce que produit la chaîne, et ce qu’il faut conserver." title="" id="51" name="Picture"/>
            <a:graphic>
              <a:graphicData uri="http://schemas.openxmlformats.org/drawingml/2006/picture">
                <pic:pic>
                  <pic:nvPicPr>
                    <pic:cNvPr descr="../FIGURES/08_archivage.png" id="52" name="Picture"/>
                    <pic:cNvPicPr>
                      <a:picLocks noChangeArrowheads="1" noChangeAspect="1"/>
                    </pic:cNvPicPr>
                  </pic:nvPicPr>
                  <pic:blipFill>
                    <a:blip r:embed="rId50"/>
                    <a:stretch>
                      <a:fillRect/>
                    </a:stretch>
                  </pic:blipFill>
                  <pic:spPr bwMode="auto">
                    <a:xfrm>
                      <a:off x="0" y="0"/>
                      <a:ext cx="5976000" cy="3192390"/>
                    </a:xfrm>
                    <a:prstGeom prst="rect">
                      <a:avLst/>
                    </a:prstGeom>
                    <a:noFill/>
                    <a:ln w="9525">
                      <a:noFill/>
                      <a:headEnd/>
                      <a:tailEnd/>
                    </a:ln>
                  </pic:spPr>
                </pic:pic>
              </a:graphicData>
            </a:graphic>
          </wp:inline>
        </w:drawing>
      </w:r>
    </w:p>
    <w:p>
      <w:pPr>
        <w:pStyle w:val="ImageCaption"/>
      </w:pPr>
      <w:r>
        <w:t xml:space="preserve">Figure 8 — Ce que produit la chaîne, et ce qu’il faut conserver.</w:t>
      </w:r>
    </w:p>
    <w:p>
      <w:pPr>
        <w:pStyle w:val="BodyText"/>
      </w:pPr>
      <w:r>
        <w:t xml:space="preserve">Le minimum rejouable tient en trois fichiers, à versionner à côté du cas :</w:t>
      </w:r>
      <w:r>
        <w:t xml:space="preserve"> </w:t>
      </w:r>
      <w:r>
        <w:rPr>
          <w:rStyle w:val="VerbatimChar"/>
        </w:rPr>
        <w:t xml:space="preserve">ETUDE.yaml</w:t>
      </w:r>
      <w:r>
        <w:t xml:space="preserve">, la figure, le rapport daté. À partir du seul</w:t>
      </w:r>
      <w:r>
        <w:t xml:space="preserve"> </w:t>
      </w:r>
      <w:r>
        <w:rPr>
          <w:rStyle w:val="VerbatimChar"/>
        </w:rPr>
        <w:t xml:space="preserve">ETUDE.yaml</w:t>
      </w:r>
      <w:r>
        <w:t xml:space="preserve">,</w:t>
      </w:r>
      <w:r>
        <w:t xml:space="preserve"> </w:t>
      </w:r>
      <w:r>
        <w:t xml:space="preserve">n’importe qui peut rejouer la décision, la contester avec une autre stratégie ou</w:t>
      </w:r>
      <w:r>
        <w:t xml:space="preserve"> </w:t>
      </w:r>
      <w:r>
        <w:t xml:space="preserve">la mettre à jour sans relancer un seul calcul.</w:t>
      </w:r>
    </w:p>
    <w:p>
      <w:pPr>
        <w:pStyle w:val="BodyText"/>
      </w:pPr>
      <w:r>
        <w:t xml:space="preserve">Les répertoires</w:t>
      </w:r>
      <w:r>
        <w:t xml:space="preserve"> </w:t>
      </w:r>
      <w:r>
        <w:rPr>
          <w:rStyle w:val="VerbatimChar"/>
        </w:rPr>
        <w:t xml:space="preserve">PILOTE/</w:t>
      </w:r>
      <w:r>
        <w:t xml:space="preserve"> </w:t>
      </w:r>
      <w:r>
        <w:t xml:space="preserve">sont volumineux et n’ont pas leur place dans un dépôt :</w:t>
      </w:r>
      <w:r>
        <w:t xml:space="preserve"> </w:t>
      </w:r>
      <w:r>
        <w:t xml:space="preserve">ils suivent le cas dans l’archivage habituel du framework (</w:t>
      </w:r>
      <w:r>
        <w:rPr>
          <w:rStyle w:val="VerbatimChar"/>
        </w:rPr>
        <w:t xml:space="preserve">cfd-archiver</w:t>
      </w:r>
      <w:r>
        <w:t xml:space="preserve">,</w:t>
      </w:r>
      <w:r>
        <w:t xml:space="preserve"> </w:t>
      </w:r>
      <w:r>
        <w:rPr>
          <w:rStyle w:val="VerbatimChar"/>
        </w:rPr>
        <w:t xml:space="preserve">cfd-archivage-cas</w:t>
      </w:r>
      <w:r>
        <w:t xml:space="preserve">). On conserve</w:t>
      </w:r>
      <w:r>
        <w:t xml:space="preserve"> </w:t>
      </w:r>
      <w:r>
        <w:rPr>
          <w:rStyle w:val="VerbatimChar"/>
        </w:rPr>
        <w:t xml:space="preserve">manifest.json</w:t>
      </w:r>
      <w:r>
        <w:t xml:space="preserve"> </w:t>
      </w:r>
      <w:r>
        <w:t xml:space="preserve">avec eux, puisque c’est lui qui</w:t>
      </w:r>
      <w:r>
        <w:t xml:space="preserve"> </w:t>
      </w:r>
      <w:r>
        <w:t xml:space="preserve">relie les runs à l’étude.</w:t>
      </w:r>
    </w:p>
    <w:p>
      <w:pPr>
        <w:pStyle w:val="BodyText"/>
      </w:pPr>
      <w:r>
        <w:t xml:space="preserve">Une règle d’archivage à retenir :</w:t>
      </w:r>
      <w:r>
        <w:t xml:space="preserve"> </w:t>
      </w:r>
      <w:r>
        <w:rPr>
          <w:bCs/>
          <w:b/>
        </w:rPr>
        <w:t xml:space="preserve">une étude vaut pour un cas sur une machine.</w:t>
      </w:r>
      <w:r>
        <w:t xml:space="preserve"> </w:t>
      </w:r>
      <w:r>
        <w:t xml:space="preserve">Changement de calculateur, de partitionneur ou de solveur : nouvelle campagne</w:t>
      </w:r>
      <w:r>
        <w:t xml:space="preserve"> </w:t>
      </w:r>
      <w:r>
        <w:t xml:space="preserve">pilote.</w:t>
      </w:r>
    </w:p>
    <w:bookmarkEnd w:id="53"/>
    <w:bookmarkEnd w:id="54"/>
    <w:bookmarkStart w:id="58" w:name="vérification-et-validation-de-loutil"/>
    <w:p>
      <w:pPr>
        <w:pStyle w:val="Heading2"/>
      </w:pPr>
      <w:r>
        <w:t xml:space="preserve">2.4 Vérification et validation de l’outil</w:t>
      </w:r>
    </w:p>
    <w:p>
      <w:pPr>
        <w:pStyle w:val="CaptionedFigure"/>
      </w:pPr>
      <w:r>
        <w:drawing>
          <wp:inline>
            <wp:extent cx="5976000" cy="2686933"/>
            <wp:effectExtent b="0" l="0" r="0" t="0"/>
            <wp:docPr descr="Figure 9 — Les trois niveaux de vérification, du plus déterministe au plus réaliste." title="" id="56" name="Picture"/>
            <a:graphic>
              <a:graphicData uri="http://schemas.openxmlformats.org/drawingml/2006/picture">
                <pic:pic>
                  <pic:nvPicPr>
                    <pic:cNvPr descr="../FIGURES/09_validation.png" id="57" name="Picture"/>
                    <pic:cNvPicPr>
                      <a:picLocks noChangeArrowheads="1" noChangeAspect="1"/>
                    </pic:cNvPicPr>
                  </pic:nvPicPr>
                  <pic:blipFill>
                    <a:blip r:embed="rId55"/>
                    <a:stretch>
                      <a:fillRect/>
                    </a:stretch>
                  </pic:blipFill>
                  <pic:spPr bwMode="auto">
                    <a:xfrm>
                      <a:off x="0" y="0"/>
                      <a:ext cx="5976000" cy="2686933"/>
                    </a:xfrm>
                    <a:prstGeom prst="rect">
                      <a:avLst/>
                    </a:prstGeom>
                    <a:noFill/>
                    <a:ln w="9525">
                      <a:noFill/>
                      <a:headEnd/>
                      <a:tailEnd/>
                    </a:ln>
                  </pic:spPr>
                </pic:pic>
              </a:graphicData>
            </a:graphic>
          </wp:inline>
        </w:drawing>
      </w:r>
    </w:p>
    <w:p>
      <w:pPr>
        <w:pStyle w:val="ImageCaption"/>
      </w:pPr>
      <w:r>
        <w:t xml:space="preserve">Figure 9 — Les trois niveaux de vérification, du plus déterministe au plus réaliste.</w:t>
      </w:r>
    </w:p>
    <w:p>
      <w:pPr>
        <w:pStyle w:val="BodyText"/>
      </w:pPr>
      <w:r>
        <w:t xml:space="preserve">Le premier niveau protège les formules : 183 tests automatisés couvrent</w:t>
      </w:r>
      <w:r>
        <w:t xml:space="preserve"> </w:t>
      </w:r>
      <w:r>
        <w:t xml:space="preserve">l’ajustement, les contraintes, les stratégies, la lecture/écriture du YAML et la</w:t>
      </w:r>
      <w:r>
        <w:t xml:space="preserve"> </w:t>
      </w:r>
      <w:r>
        <w:t xml:space="preserve">détection machine ; ils tournent à chaque modification, avec l’analyse statique</w:t>
      </w:r>
      <w:r>
        <w:t xml:space="preserve"> </w:t>
      </w:r>
      <w:r>
        <w:t xml:space="preserve">(</w:t>
      </w:r>
      <w:r>
        <w:rPr>
          <w:rStyle w:val="VerbatimChar"/>
        </w:rPr>
        <w:t xml:space="preserve">pytest</w:t>
      </w:r>
      <w:r>
        <w:t xml:space="preserve">,</w:t>
      </w:r>
      <w:r>
        <w:t xml:space="preserve"> </w:t>
      </w:r>
      <w:r>
        <w:rPr>
          <w:rStyle w:val="VerbatimChar"/>
        </w:rPr>
        <w:t xml:space="preserve">ruff</w:t>
      </w:r>
      <w:r>
        <w:t xml:space="preserve">,</w:t>
      </w:r>
      <w:r>
        <w:t xml:space="preserve"> </w:t>
      </w:r>
      <w:r>
        <w:rPr>
          <w:rStyle w:val="VerbatimChar"/>
        </w:rPr>
        <w:t xml:space="preserve">mypy</w:t>
      </w:r>
      <w:r>
        <w:t xml:space="preserve">).</w:t>
      </w:r>
    </w:p>
    <w:p>
      <w:pPr>
        <w:pStyle w:val="BodyText"/>
      </w:pPr>
      <w:r>
        <w:t xml:space="preserve">Le deuxième niveau protège l’ergonomie : un adaptateur</w:t>
      </w:r>
      <w:r>
        <w:t xml:space="preserve"> </w:t>
      </w:r>
      <w:r>
        <w:rPr>
          <w:rStyle w:val="VerbatimChar"/>
        </w:rPr>
        <w:t xml:space="preserve">mock</w:t>
      </w:r>
      <w:r>
        <w:t xml:space="preserve"> </w:t>
      </w:r>
      <w:r>
        <w:t xml:space="preserve">rejoue la chaîne</w:t>
      </w:r>
      <w:r>
        <w:t xml:space="preserve"> </w:t>
      </w:r>
      <w:r>
        <w:t xml:space="preserve">complète — soumission puis collecte — sans solveur ni ordonnanceur, ce qui permet</w:t>
      </w:r>
      <w:r>
        <w:t xml:space="preserve"> </w:t>
      </w:r>
      <w:r>
        <w:t xml:space="preserve">de vérifier les commandes, les surcharges d’options, les codes de sortie et les</w:t>
      </w:r>
      <w:r>
        <w:t xml:space="preserve"> </w:t>
      </w:r>
      <w:r>
        <w:t xml:space="preserve">messages d’erreur sur n’importe quel poste.</w:t>
      </w:r>
    </w:p>
    <w:p>
      <w:pPr>
        <w:pStyle w:val="BodyText"/>
      </w:pPr>
      <w:r>
        <w:t xml:space="preserve">Le troisième niveau est le seul qui engage la physique :</w:t>
      </w:r>
      <w:r>
        <w:t xml:space="preserve"> </w:t>
      </w:r>
      <w:r>
        <w:rPr>
          <w:bCs/>
          <w:b/>
        </w:rPr>
        <w:t xml:space="preserve">l’outil est exercé sur</w:t>
      </w:r>
      <w:r>
        <w:rPr>
          <w:bCs/>
          <w:b/>
        </w:rPr>
        <w:t xml:space="preserve"> </w:t>
      </w:r>
      <w:r>
        <w:rPr>
          <w:bCs/>
          <w:b/>
        </w:rPr>
        <w:t xml:space="preserve">les cas de la base de validation d’OpenFOAM</w:t>
      </w:r>
      <w:r>
        <w:t xml:space="preserve">, avec le vrai solveur. Ces cas de</w:t>
      </w:r>
      <w:r>
        <w:t xml:space="preserve"> </w:t>
      </w:r>
      <w:r>
        <w:t xml:space="preserve">référence, connus et reproductibles, servent à vérifier que la chaîne fonctionne</w:t>
      </w:r>
      <w:r>
        <w:t xml:space="preserve"> </w:t>
      </w:r>
      <w:r>
        <w:t xml:space="preserve">de bout en bout dans les conditions réelles — soumission, extraction des temps et</w:t>
      </w:r>
      <w:r>
        <w:t xml:space="preserve"> </w:t>
      </w:r>
      <w:r>
        <w:t xml:space="preserve">de la mémoire, ajustement, recommandation — et que le comportement mesuré est</w:t>
      </w:r>
      <w:r>
        <w:t xml:space="preserve"> </w:t>
      </w:r>
      <w:r>
        <w:t xml:space="preserve">bien celui que le modèle décrit.</w:t>
      </w:r>
    </w:p>
    <w:p>
      <w:r>
        <w:br w:type="page"/>
      </w:r>
    </w:p>
    <w:bookmarkEnd w:id="58"/>
    <w:bookmarkEnd w:id="59"/>
    <w:bookmarkStart w:id="60" w:name="difficultés-et-limites"/>
    <w:p>
      <w:pPr>
        <w:pStyle w:val="Heading1"/>
      </w:pPr>
      <w:r>
        <w:t xml:space="preserve">3. Difficultés et limites</w:t>
      </w:r>
    </w:p>
    <w:p>
      <w:pPr>
        <w:pStyle w:val="FirstParagraph"/>
      </w:pPr>
      <w:r>
        <w:rPr>
          <w:bCs/>
          <w:b/>
        </w:rPr>
        <w:t xml:space="preserve">Ce que l’outil ne fait pas.</w:t>
      </w:r>
      <w:r>
        <w:t xml:space="preserve"> </w:t>
      </w:r>
      <w:r>
        <w:t xml:space="preserve">Il ne prédit pas le nombre d’itérations</w:t>
      </w:r>
      <w:r>
        <w:t xml:space="preserve"> </w:t>
      </w:r>
      <w:r>
        <w:t xml:space="preserve">nécessaires à la convergence : c’est une entrée, qui vient de votre expérience</w:t>
      </w:r>
      <w:r>
        <w:t xml:space="preserve"> </w:t>
      </w:r>
      <w:r>
        <w:t xml:space="preserve">du cas. Durée et coût lui étant directement proportionnels, une estimation à</w:t>
      </w:r>
      <w:r>
        <w:t xml:space="preserve"> </w:t>
      </w:r>
      <w:r>
        <w:t xml:space="preserve">±30 % donne une réponse à ±30 %. Il ne dit rien de la qualité du maillage ni de</w:t>
      </w:r>
      <w:r>
        <w:t xml:space="preserve"> </w:t>
      </w:r>
      <w:r>
        <w:t xml:space="preserve">la physique. Il ne traite pas la scalabilité faible (maillage qui grandit avec</w:t>
      </w:r>
      <w:r>
        <w:t xml:space="preserve"> </w:t>
      </w:r>
      <w:r>
        <w:t xml:space="preserve">les cœurs), et sort de son cadre pour du LES ou de l’URANS à pas de temps</w:t>
      </w:r>
      <w:r>
        <w:t xml:space="preserve"> </w:t>
      </w:r>
      <w:r>
        <w:t xml:space="preserve">variable, où l’hypothèse d’un coût constant par itération tombe.</w:t>
      </w:r>
    </w:p>
    <w:tbl>
      <w:tblPr>
        <w:tblStyle w:val="Table"/>
        <w:tblW w:type="pct" w:w="5000"/>
        <w:tblLayout w:type="fixed"/>
        <w:tblLook w:firstRow="1" w:lastRow="0" w:firstColumn="0" w:lastColumn="0" w:noHBand="0" w:noVBand="0" w:val="0020"/>
        <w:jc w:val="start"/>
      </w:tblPr>
      <w:tblGrid>
        <w:gridCol w:w="3137"/>
        <w:gridCol w:w="3137"/>
        <w:gridCol w:w="3137"/>
      </w:tblGrid>
      <w:tr>
        <w:trPr>
          <w:tblHeader w:val="true"/>
        </w:trPr>
        <w:tc>
          <w:tcPr>
            <w:tcW w:type="dxa" w:w="3137"/>
          </w:tcPr>
          <w:p>
            <w:pPr>
              <w:pStyle w:val="Compact"/>
              <w:jc w:val="left"/>
            </w:pPr>
            <w:r>
              <w:t xml:space="preserve">Limite</w:t>
            </w:r>
          </w:p>
        </w:tc>
        <w:tc>
          <w:tcPr>
            <w:tcW w:type="dxa" w:w="3137"/>
          </w:tcPr>
          <w:p>
            <w:pPr>
              <w:pStyle w:val="Compact"/>
              <w:jc w:val="left"/>
            </w:pPr>
            <w:r>
              <w:t xml:space="preserve">Conséquence pratique</w:t>
            </w:r>
          </w:p>
        </w:tc>
        <w:tc>
          <w:tcPr>
            <w:tcW w:type="dxa" w:w="3137"/>
          </w:tcPr>
          <w:p>
            <w:pPr>
              <w:pStyle w:val="Compact"/>
              <w:jc w:val="left"/>
            </w:pPr>
            <w:r>
              <w:t xml:space="preserve">Ce qu’on fait</w:t>
            </w:r>
          </w:p>
        </w:tc>
      </w:tr>
      <w:tr>
        <w:tc>
          <w:tcPr>
            <w:tcW w:type="dxa" w:w="3137"/>
          </w:tcPr>
          <w:p>
            <w:pPr>
              <w:pStyle w:val="Compact"/>
              <w:jc w:val="left"/>
            </w:pPr>
            <m:oMath>
              <m:r>
                <m:t>γ</m:t>
              </m:r>
            </m:oMath>
            <w:r>
              <w:t xml:space="preserve"> </w:t>
            </w:r>
            <w:r>
              <w:t xml:space="preserve">absorbe réseau, partitionneur et solveur</w:t>
            </w:r>
          </w:p>
        </w:tc>
        <w:tc>
          <w:tcPr>
            <w:tcW w:type="dxa" w:w="3137"/>
          </w:tcPr>
          <w:p>
            <w:pPr>
              <w:pStyle w:val="Compact"/>
              <w:jc w:val="left"/>
            </w:pPr>
            <w:r>
              <w:t xml:space="preserve">non transposable d’une machine à l’autre</w:t>
            </w:r>
          </w:p>
        </w:tc>
        <w:tc>
          <w:tcPr>
            <w:tcW w:type="dxa" w:w="3137"/>
          </w:tcPr>
          <w:p>
            <w:pPr>
              <w:pStyle w:val="Compact"/>
              <w:jc w:val="left"/>
            </w:pPr>
            <w:r>
              <w:t xml:space="preserve">une campagne pilote</w:t>
            </w:r>
            <w:r>
              <w:t xml:space="preserve"> </w:t>
            </w:r>
            <w:r>
              <w:rPr>
                <w:bCs/>
                <w:b/>
              </w:rPr>
              <w:t xml:space="preserve">par machine</w:t>
            </w:r>
          </w:p>
        </w:tc>
      </w:tr>
      <w:tr>
        <w:tc>
          <w:tcPr>
            <w:tcW w:type="dxa" w:w="3137"/>
          </w:tcPr>
          <w:p>
            <w:pPr>
              <w:pStyle w:val="Compact"/>
              <w:jc w:val="left"/>
            </w:pPr>
            <w:r>
              <w:t xml:space="preserve">Le pilote est la seule mesure</w:t>
            </w:r>
          </w:p>
        </w:tc>
        <w:tc>
          <w:tcPr>
            <w:tcW w:type="dxa" w:w="3137"/>
          </w:tcPr>
          <w:p>
            <w:pPr>
              <w:pStyle w:val="Compact"/>
              <w:jc w:val="left"/>
            </w:pPr>
            <w:r>
              <w:t xml:space="preserve">un pilote bâclé donne une réponse fausse mais confiante</w:t>
            </w:r>
          </w:p>
        </w:tc>
        <w:tc>
          <w:tcPr>
            <w:tcW w:type="dxa" w:w="3137"/>
          </w:tcPr>
          <w:p>
            <w:pPr>
              <w:pStyle w:val="Compact"/>
              <w:jc w:val="left"/>
            </w:pPr>
            <w:r>
              <w:t xml:space="preserve">règles de l’étape 1, verdict de qualité affiché</w:t>
            </w:r>
          </w:p>
        </w:tc>
      </w:tr>
      <w:tr>
        <w:tc>
          <w:tcPr>
            <w:tcW w:type="dxa" w:w="3137"/>
          </w:tcPr>
          <w:p>
            <w:pPr>
              <w:pStyle w:val="Compact"/>
              <w:jc w:val="left"/>
            </w:pPr>
            <w:r>
              <w:t xml:space="preserve">Extrapolation hors plage pilote</w:t>
            </w:r>
          </w:p>
        </w:tc>
        <w:tc>
          <w:tcPr>
            <w:tcW w:type="dxa" w:w="3137"/>
          </w:tcPr>
          <w:p>
            <w:pPr>
              <w:pStyle w:val="Compact"/>
              <w:jc w:val="left"/>
            </w:pPr>
            <w:r>
              <w:t xml:space="preserve">l’incertitude n’est plus contrôlée</w:t>
            </w:r>
          </w:p>
        </w:tc>
        <w:tc>
          <w:tcPr>
            <w:tcW w:type="dxa" w:w="3137"/>
          </w:tcPr>
          <w:p>
            <w:pPr>
              <w:pStyle w:val="Compact"/>
              <w:jc w:val="left"/>
            </w:pPr>
            <w:r>
              <w:t xml:space="preserve">zone signalée sur la figure et dans le rapport</w:t>
            </w:r>
          </w:p>
        </w:tc>
      </w:tr>
      <w:tr>
        <w:tc>
          <w:tcPr>
            <w:tcW w:type="dxa" w:w="3137"/>
          </w:tcPr>
          <w:p>
            <w:pPr>
              <w:pStyle w:val="Compact"/>
              <w:jc w:val="left"/>
            </w:pPr>
            <w:r>
              <w:t xml:space="preserve">Mémoire supposée fixe et répartie également</w:t>
            </w:r>
          </w:p>
        </w:tc>
        <w:tc>
          <w:tcPr>
            <w:tcW w:type="dxa" w:w="3137"/>
          </w:tcPr>
          <w:p>
            <w:pPr>
              <w:pStyle w:val="Compact"/>
              <w:jc w:val="left"/>
            </w:pPr>
            <w:r>
              <w:t xml:space="preserve">estimation légèrement optimiste à grand nombre de cœurs</w:t>
            </w:r>
          </w:p>
        </w:tc>
        <w:tc>
          <w:tcPr>
            <w:tcW w:type="dxa" w:w="3137"/>
          </w:tcPr>
          <w:p>
            <w:pPr>
              <w:pStyle w:val="Compact"/>
              <w:jc w:val="left"/>
            </w:pPr>
            <w:r>
              <w:t xml:space="preserve">contrainte mémoire traitée comme un garde-fou, pas une prédiction</w:t>
            </w:r>
          </w:p>
        </w:tc>
      </w:tr>
      <w:tr>
        <w:tc>
          <w:tcPr>
            <w:tcW w:type="dxa" w:w="3137"/>
          </w:tcPr>
          <w:p>
            <w:pPr>
              <w:pStyle w:val="Compact"/>
              <w:jc w:val="left"/>
            </w:pPr>
            <w:r>
              <w:t xml:space="preserve">RAM non mesurée hors SLURM</w:t>
            </w:r>
          </w:p>
        </w:tc>
        <w:tc>
          <w:tcPr>
            <w:tcW w:type="dxa" w:w="3137"/>
          </w:tcPr>
          <w:p>
            <w:pPr>
              <w:pStyle w:val="Compact"/>
              <w:jc w:val="left"/>
            </w:pPr>
            <w:r>
              <w:t xml:space="preserve">contraintes mémoire ignorées</w:t>
            </w:r>
          </w:p>
        </w:tc>
        <w:tc>
          <w:tcPr>
            <w:tcW w:type="dxa" w:w="3137"/>
          </w:tcPr>
          <w:p>
            <w:pPr>
              <w:pStyle w:val="Compact"/>
              <w:jc w:val="left"/>
            </w:pPr>
            <w:r>
              <w:t xml:space="preserve">la recommandation reste valable, la réserve est affichée</w:t>
            </w:r>
          </w:p>
        </w:tc>
      </w:tr>
      <w:tr>
        <w:tc>
          <w:tcPr>
            <w:tcW w:type="dxa" w:w="3137"/>
          </w:tcPr>
          <w:p>
            <w:pPr>
              <w:pStyle w:val="Compact"/>
              <w:jc w:val="left"/>
            </w:pPr>
            <w:r>
              <w:t xml:space="preserve">Nombre de mailles et d’itérations issus de fonctions d’adaptateur simples</w:t>
            </w:r>
          </w:p>
        </w:tc>
        <w:tc>
          <w:tcPr>
            <w:tcW w:type="dxa" w:w="3137"/>
          </w:tcPr>
          <w:p>
            <w:pPr>
              <w:pStyle w:val="Compact"/>
              <w:jc w:val="left"/>
            </w:pPr>
            <w:r>
              <w:t xml:space="preserve">valeurs à vérifier</w:t>
            </w:r>
          </w:p>
        </w:tc>
        <w:tc>
          <w:tcPr>
            <w:tcW w:type="dxa" w:w="3137"/>
          </w:tcPr>
          <w:p>
            <w:pPr>
              <w:pStyle w:val="Compact"/>
              <w:jc w:val="left"/>
            </w:pPr>
            <w:r>
              <w:t xml:space="preserve">options</w:t>
            </w:r>
            <w:r>
              <w:t xml:space="preserve"> </w:t>
            </w:r>
            <w:r>
              <w:rPr>
                <w:rStyle w:val="VerbatimChar"/>
              </w:rPr>
              <w:t xml:space="preserve">--num-cells</w:t>
            </w:r>
            <w:r>
              <w:t xml:space="preserve"> </w:t>
            </w:r>
            <w:r>
              <w:t xml:space="preserve">et</w:t>
            </w:r>
            <w:r>
              <w:t xml:space="preserve"> </w:t>
            </w:r>
            <w:r>
              <w:rPr>
                <w:rStyle w:val="VerbatimChar"/>
              </w:rPr>
              <w:t xml:space="preserve">--n-iterations</w:t>
            </w:r>
          </w:p>
        </w:tc>
      </w:tr>
      <w:tr>
        <w:tc>
          <w:tcPr>
            <w:tcW w:type="dxa" w:w="3137"/>
          </w:tcPr>
          <w:p>
            <w:pPr>
              <w:pStyle w:val="Compact"/>
              <w:jc w:val="left"/>
            </w:pPr>
            <w:r>
              <w:t xml:space="preserve">Un seul run par nombre de cœurs</w:t>
            </w:r>
          </w:p>
        </w:tc>
        <w:tc>
          <w:tcPr>
            <w:tcW w:type="dxa" w:w="3137"/>
          </w:tcPr>
          <w:p>
            <w:pPr>
              <w:pStyle w:val="Compact"/>
              <w:jc w:val="left"/>
            </w:pPr>
            <w:r>
              <w:t xml:space="preserve">la gigue du calculateur n’est pas moyennée</w:t>
            </w:r>
          </w:p>
        </w:tc>
        <w:tc>
          <w:tcPr>
            <w:tcW w:type="dxa" w:w="3137"/>
          </w:tcPr>
          <w:p>
            <w:pPr>
              <w:pStyle w:val="Compact"/>
              <w:jc w:val="left"/>
            </w:pPr>
            <w:r>
              <w:t xml:space="preserve">relancer la soumission : les points de mêmes cœurs sont moyennés</w:t>
            </w:r>
          </w:p>
        </w:tc>
      </w:tr>
    </w:tbl>
    <w:p>
      <w:pPr>
        <w:pStyle w:val="BodyText"/>
      </w:pPr>
      <w:r>
        <w:rPr>
          <w:bCs/>
          <w:b/>
        </w:rPr>
        <w:t xml:space="preserve">Les pièges d’exploitation</w:t>
      </w:r>
      <w:r>
        <w:t xml:space="preserve">, ceux qui coûtent le plus de temps en pratique :</w:t>
      </w:r>
    </w:p>
    <w:p>
      <w:pPr>
        <w:numPr>
          <w:ilvl w:val="0"/>
          <w:numId w:val="1002"/>
        </w:numPr>
        <w:pStyle w:val="Compact"/>
      </w:pPr>
      <w:r>
        <w:rPr>
          <w:iCs/>
          <w:i/>
        </w:rPr>
        <w:t xml:space="preserve">Le manifeste déplacé entre soumission et collecte.</w:t>
      </w:r>
      <w:r>
        <w:t xml:space="preserve"> </w:t>
      </w:r>
      <w:r>
        <w:rPr>
          <w:rStyle w:val="VerbatimChar"/>
        </w:rPr>
        <w:t xml:space="preserve">PILOTE/manifest.json</w:t>
      </w:r>
      <w:r>
        <w:t xml:space="preserve"> </w:t>
      </w:r>
      <w:r>
        <w:t xml:space="preserve">relie les deux phases ; sans lui, les runs sont orphelins.</w:t>
      </w:r>
    </w:p>
    <w:p>
      <w:pPr>
        <w:numPr>
          <w:ilvl w:val="0"/>
          <w:numId w:val="1002"/>
        </w:numPr>
        <w:pStyle w:val="Compact"/>
      </w:pPr>
      <w:r>
        <w:rPr>
          <w:iCs/>
          <w:i/>
        </w:rPr>
        <w:t xml:space="preserve">La machine non renseignée.</w:t>
      </w:r>
      <w:r>
        <w:t xml:space="preserve"> </w:t>
      </w:r>
      <w:r>
        <w:t xml:space="preserve">Réponse en cœurs « libres », impossible à</w:t>
      </w:r>
      <w:r>
        <w:t xml:space="preserve"> </w:t>
      </w:r>
      <w:r>
        <w:t xml:space="preserve">demander à l’ordonnanceur, et facturation à la surprise.</w:t>
      </w:r>
    </w:p>
    <w:p>
      <w:pPr>
        <w:numPr>
          <w:ilvl w:val="0"/>
          <w:numId w:val="1002"/>
        </w:numPr>
        <w:pStyle w:val="Compact"/>
      </w:pPr>
      <w:r>
        <w:rPr>
          <w:iCs/>
          <w:i/>
        </w:rPr>
        <w:t xml:space="preserve">L’adaptateur</w:t>
      </w:r>
      <w:r>
        <w:rPr>
          <w:iCs/>
          <w:i/>
        </w:rPr>
        <w:t xml:space="preserve"> </w:t>
      </w:r>
      <w:r>
        <w:rPr>
          <w:rStyle w:val="VerbatimChar"/>
          <w:iCs/>
          <w:i/>
        </w:rPr>
        <w:t xml:space="preserve">OF.sh</w:t>
      </w:r>
      <w:r>
        <w:rPr>
          <w:iCs/>
          <w:i/>
        </w:rPr>
        <w:t xml:space="preserve"> </w:t>
      </w:r>
      <w:r>
        <w:rPr>
          <w:iCs/>
          <w:i/>
        </w:rPr>
        <w:t xml:space="preserve">pris tel quel.</w:t>
      </w:r>
      <w:r>
        <w:t xml:space="preserve"> </w:t>
      </w:r>
      <w:r>
        <w:t xml:space="preserve">Il sert de référence : les chemins, le</w:t>
      </w:r>
      <w:r>
        <w:t xml:space="preserve"> </w:t>
      </w:r>
      <w:r>
        <w:t xml:space="preserve">script de soumission et l’extraction des temps sont à adapter à votre</w:t>
      </w:r>
      <w:r>
        <w:t xml:space="preserve"> </w:t>
      </w:r>
      <w:r>
        <w:t xml:space="preserve">installation.</w:t>
      </w:r>
    </w:p>
    <w:p>
      <w:pPr>
        <w:numPr>
          <w:ilvl w:val="0"/>
          <w:numId w:val="1002"/>
        </w:numPr>
        <w:pStyle w:val="Compact"/>
      </w:pPr>
      <w:r>
        <w:rPr>
          <w:iCs/>
          <w:i/>
        </w:rPr>
        <w:t xml:space="preserve">L’installation non éditable.</w:t>
      </w:r>
      <w:r>
        <w:t xml:space="preserve"> </w:t>
      </w:r>
      <w:r>
        <w:t xml:space="preserve">Après un</w:t>
      </w:r>
      <w:r>
        <w:t xml:space="preserve"> </w:t>
      </w:r>
      <w:r>
        <w:rPr>
          <w:rStyle w:val="VerbatimChar"/>
        </w:rPr>
        <w:t xml:space="preserve">pip install .</w:t>
      </w:r>
      <w:r>
        <w:t xml:space="preserve"> </w:t>
      </w:r>
      <w:r>
        <w:t xml:space="preserve">classique,</w:t>
      </w:r>
      <w:r>
        <w:t xml:space="preserve"> </w:t>
      </w:r>
      <w:r>
        <w:rPr>
          <w:rStyle w:val="VerbatimChar"/>
        </w:rPr>
        <w:t xml:space="preserve">run</w:t>
      </w:r>
      <w:r>
        <w:t xml:space="preserve"> </w:t>
      </w:r>
      <w:r>
        <w:t xml:space="preserve">et</w:t>
      </w:r>
      <w:r>
        <w:t xml:space="preserve"> </w:t>
      </w:r>
      <w:r>
        <w:rPr>
          <w:rStyle w:val="VerbatimChar"/>
        </w:rPr>
        <w:t xml:space="preserve">check</w:t>
      </w:r>
      <w:r>
        <w:t xml:space="preserve"> </w:t>
      </w:r>
      <w:r>
        <w:t xml:space="preserve">fonctionnent mais</w:t>
      </w:r>
      <w:r>
        <w:t xml:space="preserve"> </w:t>
      </w:r>
      <w:r>
        <w:rPr>
          <w:rStyle w:val="VerbatimChar"/>
        </w:rPr>
        <w:t xml:space="preserve">example</w:t>
      </w:r>
      <w:r>
        <w:t xml:space="preserve"> </w:t>
      </w:r>
      <w:r>
        <w:t xml:space="preserve">et</w:t>
      </w:r>
      <w:r>
        <w:t xml:space="preserve"> </w:t>
      </w:r>
      <w:r>
        <w:rPr>
          <w:rStyle w:val="VerbatimChar"/>
        </w:rPr>
        <w:t xml:space="preserve">capture</w:t>
      </w:r>
      <w:r>
        <w:t xml:space="preserve"> </w:t>
      </w:r>
      <w:r>
        <w:t xml:space="preserve">ne trouvent plus les</w:t>
      </w:r>
      <w:r>
        <w:t xml:space="preserve"> </w:t>
      </w:r>
      <w:r>
        <w:t xml:space="preserve">répertoires</w:t>
      </w:r>
      <w:r>
        <w:t xml:space="preserve"> </w:t>
      </w:r>
      <w:r>
        <w:rPr>
          <w:rStyle w:val="VerbatimChar"/>
        </w:rPr>
        <w:t xml:space="preserve">01_EXEMPLE/</w:t>
      </w:r>
      <w:r>
        <w:t xml:space="preserve"> </w:t>
      </w:r>
      <w:r>
        <w:t xml:space="preserve">et</w:t>
      </w:r>
      <w:r>
        <w:t xml:space="preserve"> </w:t>
      </w:r>
      <w:r>
        <w:rPr>
          <w:rStyle w:val="VerbatimChar"/>
        </w:rPr>
        <w:t xml:space="preserve">ADAPTATEUR/</w:t>
      </w:r>
      <w:r>
        <w:t xml:space="preserve">, qui sont résolus relativement aux</w:t>
      </w:r>
      <w:r>
        <w:t xml:space="preserve"> </w:t>
      </w:r>
      <w:r>
        <w:t xml:space="preserve">sources. La panne est sournoise parce qu’elle est partielle : privilégier</w:t>
      </w:r>
      <w:r>
        <w:t xml:space="preserve"> </w:t>
      </w:r>
      <w:r>
        <w:t xml:space="preserve">l’installation éditable ou une installation partagée qui conserve</w:t>
      </w:r>
      <w:r>
        <w:t xml:space="preserve"> </w:t>
      </w:r>
      <w:r>
        <w:t xml:space="preserve">l’arborescence.</w:t>
      </w:r>
    </w:p>
    <w:p>
      <w:r>
        <w:br w:type="page"/>
      </w:r>
    </w:p>
    <w:bookmarkEnd w:id="60"/>
    <w:bookmarkStart w:id="61" w:name="aide-mémoire"/>
    <w:p>
      <w:pPr>
        <w:pStyle w:val="Heading1"/>
      </w:pPr>
      <w:r>
        <w:t xml:space="preserve">4. Aide-mémoire</w:t>
      </w:r>
    </w:p>
    <w:tbl>
      <w:tblPr>
        <w:tblStyle w:val="Table"/>
        <w:tblW w:type="pct" w:w="5000"/>
        <w:tblLayout w:type="fixed"/>
        <w:tblLook w:firstRow="1" w:lastRow="0" w:firstColumn="0" w:lastColumn="0" w:noHBand="0" w:noVBand="0" w:val="0020"/>
        <w:jc w:val="start"/>
      </w:tblPr>
      <w:tblGrid>
        <w:gridCol w:w="4706"/>
        <w:gridCol w:w="4706"/>
      </w:tblGrid>
      <w:tr>
        <w:trPr>
          <w:tblHeader w:val="true"/>
        </w:trPr>
        <w:tc>
          <w:tcPr>
            <w:tcW w:type="dxa" w:w="4706"/>
          </w:tcPr>
          <w:p>
            <w:pPr>
              <w:pStyle w:val="Compact"/>
              <w:jc w:val="left"/>
            </w:pPr>
            <w:r>
              <w:t xml:space="preserve">Besoin</w:t>
            </w:r>
          </w:p>
        </w:tc>
        <w:tc>
          <w:tcPr>
            <w:tcW w:type="dxa" w:w="4706"/>
          </w:tcPr>
          <w:p>
            <w:pPr>
              <w:pStyle w:val="Compact"/>
              <w:jc w:val="left"/>
            </w:pPr>
            <w:r>
              <w:t xml:space="preserve">Commande</w:t>
            </w:r>
          </w:p>
        </w:tc>
      </w:tr>
      <w:tr>
        <w:tc>
          <w:tcPr>
            <w:tcW w:type="dxa" w:w="4706"/>
          </w:tcPr>
          <w:p>
            <w:pPr>
              <w:pStyle w:val="Compact"/>
              <w:jc w:val="left"/>
            </w:pPr>
            <w:r>
              <w:t xml:space="preserve">Découvrir l’outil sans solveur</w:t>
            </w:r>
          </w:p>
        </w:tc>
        <w:tc>
          <w:tcPr>
            <w:tcW w:type="dxa" w:w="4706"/>
          </w:tcPr>
          <w:p>
            <w:pPr>
              <w:pStyle w:val="Compact"/>
              <w:jc w:val="left"/>
            </w:pPr>
            <w:r>
              <w:rPr>
                <w:rStyle w:val="VerbatimChar"/>
              </w:rPr>
              <w:t xml:space="preserve">cfd-perf example -o essai &amp;&amp; cfd-perf run essai/*.yaml</w:t>
            </w:r>
          </w:p>
        </w:tc>
      </w:tr>
      <w:tr>
        <w:tc>
          <w:tcPr>
            <w:tcW w:type="dxa" w:w="4706"/>
          </w:tcPr>
          <w:p>
            <w:pPr>
              <w:pStyle w:val="Compact"/>
              <w:jc w:val="left"/>
            </w:pPr>
            <w:r>
              <w:t xml:space="preserve">Soumettre le pilote</w:t>
            </w:r>
          </w:p>
        </w:tc>
        <w:tc>
          <w:tcPr>
            <w:tcW w:type="dxa" w:w="4706"/>
          </w:tcPr>
          <w:p>
            <w:pPr>
              <w:pStyle w:val="Compact"/>
              <w:jc w:val="left"/>
            </w:pPr>
            <w:r>
              <w:rPr>
                <w:rStyle w:val="VerbatimChar"/>
              </w:rPr>
              <w:t xml:space="preserve">cfd-perf capture --coeurs "48 96 192 384" --adaptateur OF --queue normal</w:t>
            </w:r>
          </w:p>
        </w:tc>
      </w:tr>
      <w:tr>
        <w:tc>
          <w:tcPr>
            <w:tcW w:type="dxa" w:w="4706"/>
          </w:tcPr>
          <w:p>
            <w:pPr>
              <w:pStyle w:val="Compact"/>
              <w:jc w:val="left"/>
            </w:pPr>
            <w:r>
              <w:t xml:space="preserve">Collecter et recommander</w:t>
            </w:r>
          </w:p>
        </w:tc>
        <w:tc>
          <w:tcPr>
            <w:tcW w:type="dxa" w:w="4706"/>
          </w:tcPr>
          <w:p>
            <w:pPr>
              <w:pStyle w:val="Compact"/>
              <w:jc w:val="left"/>
            </w:pPr>
            <w:r>
              <w:rPr>
                <w:rStyle w:val="VerbatimChar"/>
              </w:rPr>
              <w:t xml:space="preserve">cfd-perf capture --collect --figure SORTIE/scalabilite.png</w:t>
            </w:r>
          </w:p>
        </w:tc>
      </w:tr>
      <w:tr>
        <w:tc>
          <w:tcPr>
            <w:tcW w:type="dxa" w:w="4706"/>
          </w:tcPr>
          <w:p>
            <w:pPr>
              <w:pStyle w:val="Compact"/>
              <w:jc w:val="left"/>
            </w:pPr>
            <w:r>
              <w:t xml:space="preserve">Valider un fichier d’étude</w:t>
            </w:r>
          </w:p>
        </w:tc>
        <w:tc>
          <w:tcPr>
            <w:tcW w:type="dxa" w:w="4706"/>
          </w:tcPr>
          <w:p>
            <w:pPr>
              <w:pStyle w:val="Compact"/>
              <w:jc w:val="left"/>
            </w:pPr>
            <w:r>
              <w:rPr>
                <w:rStyle w:val="VerbatimChar"/>
              </w:rPr>
              <w:t xml:space="preserve">cfd-perf check ETUDE.yaml</w:t>
            </w:r>
          </w:p>
        </w:tc>
      </w:tr>
      <w:tr>
        <w:tc>
          <w:tcPr>
            <w:tcW w:type="dxa" w:w="4706"/>
          </w:tcPr>
          <w:p>
            <w:pPr>
              <w:pStyle w:val="Compact"/>
              <w:jc w:val="left"/>
            </w:pPr>
            <w:r>
              <w:t xml:space="preserve">Décider avec une échéance</w:t>
            </w:r>
          </w:p>
        </w:tc>
        <w:tc>
          <w:tcPr>
            <w:tcW w:type="dxa" w:w="4706"/>
          </w:tcPr>
          <w:p>
            <w:pPr>
              <w:pStyle w:val="Compact"/>
              <w:jc w:val="left"/>
            </w:pPr>
            <w:r>
              <w:rPr>
                <w:rStyle w:val="VerbatimChar"/>
              </w:rPr>
              <w:t xml:space="preserve">cfd-perf run ETUDE.yaml --strategy deadline --deadline 4.5</w:t>
            </w:r>
          </w:p>
        </w:tc>
      </w:tr>
      <w:tr>
        <w:tc>
          <w:tcPr>
            <w:tcW w:type="dxa" w:w="4706"/>
          </w:tcPr>
          <w:p>
            <w:pPr>
              <w:pStyle w:val="Compact"/>
              <w:jc w:val="left"/>
            </w:pPr>
            <w:r>
              <w:t xml:space="preserve">Rapport complet + trace écrite</w:t>
            </w:r>
          </w:p>
        </w:tc>
        <w:tc>
          <w:tcPr>
            <w:tcW w:type="dxa" w:w="4706"/>
          </w:tcPr>
          <w:p>
            <w:pPr>
              <w:pStyle w:val="Compact"/>
              <w:jc w:val="left"/>
            </w:pPr>
            <w:r>
              <w:rPr>
                <w:rStyle w:val="VerbatimChar"/>
              </w:rPr>
              <w:t xml:space="preserve">cfd-perf run ETUDE.yaml -v \| tee SORTIE/rapport.txt</w:t>
            </w:r>
          </w:p>
        </w:tc>
      </w:tr>
      <w:tr>
        <w:tc>
          <w:tcPr>
            <w:tcW w:type="dxa" w:w="4706"/>
          </w:tcPr>
          <w:p>
            <w:pPr>
              <w:pStyle w:val="Compact"/>
              <w:jc w:val="left"/>
            </w:pPr>
            <w:r>
              <w:t xml:space="preserve">Essayer la chaîne complète sans solveur</w:t>
            </w:r>
          </w:p>
        </w:tc>
        <w:tc>
          <w:tcPr>
            <w:tcW w:type="dxa" w:w="4706"/>
          </w:tcPr>
          <w:p>
            <w:pPr>
              <w:pStyle w:val="Compact"/>
              <w:jc w:val="left"/>
            </w:pPr>
            <w:r>
              <w:rPr>
                <w:rStyle w:val="VerbatimChar"/>
              </w:rPr>
              <w:t xml:space="preserve">cfd-perf capture --coeurs "8 16 32 64" --adaptateur mock</w:t>
            </w:r>
          </w:p>
        </w:tc>
      </w:tr>
    </w:tbl>
    <w:p>
      <w:pPr>
        <w:pStyle w:val="BodyText"/>
      </w:pPr>
      <w:r>
        <w:rPr>
          <w:bCs/>
          <w:b/>
        </w:rPr>
        <w:t xml:space="preserve">Documentation de référence</w:t>
      </w:r>
      <w:r>
        <w:t xml:space="preserve"> </w:t>
      </w:r>
      <w:r>
        <w:t xml:space="preserve">(dans</w:t>
      </w:r>
      <w:r>
        <w:t xml:space="preserve"> </w:t>
      </w:r>
      <w:r>
        <w:rPr>
          <w:rStyle w:val="VerbatimChar"/>
        </w:rPr>
        <w:t xml:space="preserve">tools/cfd-perf/</w:t>
      </w:r>
      <w:r>
        <w:t xml:space="preserve">) :</w:t>
      </w:r>
      <w:r>
        <w:t xml:space="preserve"> </w:t>
      </w:r>
      <w:r>
        <w:rPr>
          <w:rStyle w:val="VerbatimChar"/>
        </w:rPr>
        <w:t xml:space="preserve">README.md</w:t>
      </w:r>
      <w:r>
        <w:t xml:space="preserve"> </w:t>
      </w:r>
      <w:r>
        <w:t xml:space="preserve">pour</w:t>
      </w:r>
      <w:r>
        <w:t xml:space="preserve"> </w:t>
      </w:r>
      <w:r>
        <w:t xml:space="preserve">l’ensemble,</w:t>
      </w:r>
      <w:r>
        <w:t xml:space="preserve"> </w:t>
      </w:r>
      <w:r>
        <w:rPr>
          <w:rStyle w:val="VerbatimChar"/>
        </w:rPr>
        <w:t xml:space="preserve">00_DOC/01_MODELE.md</w:t>
      </w:r>
      <w:r>
        <w:t xml:space="preserve"> </w:t>
      </w:r>
      <w:r>
        <w:t xml:space="preserve">pour le modèle,</w:t>
      </w:r>
      <w:r>
        <w:t xml:space="preserve"> </w:t>
      </w:r>
      <w:r>
        <w:rPr>
          <w:rStyle w:val="VerbatimChar"/>
        </w:rPr>
        <w:t xml:space="preserve">00_DOC/02_GUIDE_UTILISATEUR.md</w:t>
      </w:r>
      <w:r>
        <w:t xml:space="preserve"> </w:t>
      </w:r>
      <w:r>
        <w:t xml:space="preserve">pour l’usage courant,</w:t>
      </w:r>
      <w:r>
        <w:t xml:space="preserve"> </w:t>
      </w:r>
      <w:r>
        <w:rPr>
          <w:rStyle w:val="VerbatimChar"/>
        </w:rPr>
        <w:t xml:space="preserve">00_DOC/03_FORMAT_ENTREE.md</w:t>
      </w:r>
      <w:r>
        <w:t xml:space="preserve"> </w:t>
      </w:r>
      <w:r>
        <w:t xml:space="preserve">pour le format d’étude,</w:t>
      </w:r>
      <w:r>
        <w:t xml:space="preserve"> </w:t>
      </w:r>
      <w:r>
        <w:rPr>
          <w:rStyle w:val="VerbatimChar"/>
        </w:rPr>
        <w:t xml:space="preserve">00_DOC/05_CAPTURE_PILOTE.md</w:t>
      </w:r>
      <w:r>
        <w:t xml:space="preserve"> </w:t>
      </w:r>
      <w:r>
        <w:t xml:space="preserve">pour la capture automatique et le contrat</w:t>
      </w:r>
      <w:r>
        <w:t xml:space="preserve"> </w:t>
      </w:r>
      <w:r>
        <w:t xml:space="preserve">d’adaptateur,</w:t>
      </w:r>
      <w:r>
        <w:t xml:space="preserve"> </w:t>
      </w:r>
      <w:r>
        <w:rPr>
          <w:rStyle w:val="VerbatimChar"/>
        </w:rPr>
        <w:t xml:space="preserve">00_DOC/06_INSTALLATION_AIR_GAP.md</w:t>
      </w:r>
      <w:r>
        <w:t xml:space="preserve"> </w:t>
      </w:r>
      <w:r>
        <w:t xml:space="preserve">pour l’installation sur</w:t>
      </w:r>
      <w:r>
        <w:t xml:space="preserve"> </w:t>
      </w:r>
      <w:r>
        <w:t xml:space="preserve">calculateur isolé.</w:t>
      </w:r>
    </w:p>
    <w:bookmarkEnd w:id="61"/>
    <w:sectPr>
      <w:footerReference w:type="default" r:id="rIdFooterCfdPerf"/>
      <w:pgSz w:w="11906" w:h="16838"/>
      <w:pgMar w:top="1134" w:right="1134" w:bottom="1134" w:left="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sz w:val="18"/>
        <w:color w:val="808080"/>
      </w:rPr>
      <w:t xml:space="preserve">cfd-perf — transmission de connaissance   |   </w:t>
    </w:r>
    <w:r>
      <w:rPr>
        <w:sz w:val="18"/>
        <w:color w:val="808080"/>
      </w:rPr>
      <w:fldChar w:fldCharType="begin"/>
    </w:r>
    <w:r>
      <w:rPr>
        <w:sz w:val="18"/>
        <w:color w:val="808080"/>
      </w:rPr>
      <w:instrText xml:space="preserve"> PAGE </w:instrText>
    </w:r>
    <w:r>
      <w:rPr>
        <w:sz w:val="18"/>
        <w:color w:val="808080"/>
      </w:rPr>
      <w:fldChar w:fldCharType="separate"/>
    </w:r>
    <w:r>
      <w:rPr>
        <w:sz w:val="18"/>
        <w:color w:val="808080"/>
      </w:rPr>
      <w:t>1</w:t>
    </w:r>
    <w:r>
      <w:rPr>
        <w:sz w:val="18"/>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45" Type="http://schemas.openxmlformats.org/officeDocument/2006/relationships/image" Target="media/rId45.png"/><Relationship Id="rId28" Type="http://schemas.openxmlformats.org/officeDocument/2006/relationships/image" Target="media/rId28.png"/><Relationship Id="rId31" Type="http://schemas.openxmlformats.org/officeDocument/2006/relationships/image" Target="media/rId31.png"/><Relationship Id="rId20" Type="http://schemas.openxmlformats.org/officeDocument/2006/relationships/image" Target="media/rId20.png"/><Relationship Id="rId24" Type="http://schemas.openxmlformats.org/officeDocument/2006/relationships/image" Target="media/rId24.png"/><Relationship Id="rId38" Type="http://schemas.openxmlformats.org/officeDocument/2006/relationships/image" Target="media/rId38.png"/><Relationship Id="rId50" Type="http://schemas.openxmlformats.org/officeDocument/2006/relationships/image" Target="media/rId50.png"/><Relationship Id="rId55" Type="http://schemas.openxmlformats.org/officeDocument/2006/relationships/image" Target="media/rId55.png"/><Relationship Id="rIdFooterCfdPerf"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Dimensionner un calcul CFD parallèle</dc:title>
  <dc:creator/>
  <dc:language>fr-FR</dc:language>
  <cp:keywords/>
  <dcterms:created xsi:type="dcterms:W3CDTF">2026-08-05T21:24:51Z</dcterms:created>
  <dcterms:modified xsi:type="dcterms:W3CDTF">2026-08-05T21:24:51Z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5 août 2026</vt:lpwstr>
  </property>
  <property fmtid="{D5CDD505-2E9C-101B-9397-08002B2CF9AE}" pid="3" name="subtitle">
    <vt:lpwstr>cfd-perf — document de transmission de connaissance</vt:lpwstr>
  </property>
</Properties>
</file>