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IT25101620</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Malwatta M. W. C. S.</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Somarathna P. G. D. S.</w:t>
              <w:br/>
            </w:r>
            <w:r>
              <w:rPr>
                <w:rFonts w:ascii="Calibri" w:hAnsi="Calibri"/>
                <w:b/>
                <w:sz w:val="17"/>
              </w:rPr>
              <w:t>IT25103819</w:t>
            </w:r>
          </w:p>
        </w:tc>
        <w:tc>
          <w:tcPr>
            <w:tcW w:w="1411" w:type="dxa"/>
          </w:tcPr>
          <w:p>
            <w:pPr>
              <w:spacing w:before="0" w:after="0" w:line="240" w:lineRule="auto"/>
              <w:jc w:val="center"/>
            </w:pPr>
            <w:r/>
            <w:r>
              <w:rPr>
                <w:rFonts w:ascii="Calibri" w:hAnsi="Calibri"/>
                <w:b/>
                <w:sz w:val="18"/>
              </w:rPr>
              <w:t>Member 2</w:t>
              <w:br/>
            </w:r>
            <w:r>
              <w:rPr>
                <w:rFonts w:ascii="Calibri" w:hAnsi="Calibri"/>
                <w:sz w:val="16"/>
              </w:rPr>
              <w:t>Rathnayaka R. M. K. L. B.</w:t>
              <w:br/>
            </w:r>
            <w:r>
              <w:rPr>
                <w:rFonts w:ascii="Calibri" w:hAnsi="Calibri"/>
                <w:b/>
                <w:sz w:val="17"/>
              </w:rPr>
              <w:t>IT25103999</w:t>
            </w:r>
          </w:p>
        </w:tc>
        <w:tc>
          <w:tcPr>
            <w:tcW w:w="1411" w:type="dxa"/>
          </w:tcPr>
          <w:p>
            <w:pPr>
              <w:spacing w:before="0" w:after="0" w:line="240" w:lineRule="auto"/>
              <w:jc w:val="center"/>
            </w:pPr>
            <w:r/>
            <w:r>
              <w:rPr>
                <w:rFonts w:ascii="Calibri" w:hAnsi="Calibri"/>
                <w:b/>
                <w:sz w:val="18"/>
              </w:rPr>
              <w:t>Member 3</w:t>
              <w:br/>
            </w:r>
            <w:r>
              <w:rPr>
                <w:rFonts w:ascii="Calibri" w:hAnsi="Calibri"/>
                <w:sz w:val="16"/>
              </w:rPr>
              <w:t>Udumullage S. H. U.</w:t>
              <w:br/>
            </w:r>
            <w:r>
              <w:rPr>
                <w:rFonts w:ascii="Calibri" w:hAnsi="Calibri"/>
                <w:b/>
                <w:sz w:val="17"/>
              </w:rPr>
              <w:t>IT25100826</w:t>
            </w:r>
          </w:p>
        </w:tc>
        <w:tc>
          <w:tcPr>
            <w:tcW w:w="1411" w:type="dxa"/>
          </w:tcPr>
          <w:p>
            <w:pPr>
              <w:spacing w:before="0" w:after="0" w:line="240" w:lineRule="auto"/>
              <w:jc w:val="center"/>
            </w:pPr>
            <w:r/>
            <w:r>
              <w:rPr>
                <w:rFonts w:ascii="Calibri" w:hAnsi="Calibri"/>
                <w:b/>
                <w:sz w:val="18"/>
              </w:rPr>
              <w:t>Member 4</w:t>
              <w:br/>
            </w:r>
            <w:r>
              <w:rPr>
                <w:rFonts w:ascii="Calibri" w:hAnsi="Calibri"/>
                <w:sz w:val="16"/>
              </w:rPr>
              <w:t>Dhanasinghe K. A. K. H.</w:t>
              <w:br/>
            </w:r>
            <w:r>
              <w:rPr>
                <w:rFonts w:ascii="Calibri" w:hAnsi="Calibri"/>
                <w:b/>
                <w:sz w:val="17"/>
              </w:rPr>
              <w:t>IT25103992</w:t>
            </w:r>
          </w:p>
        </w:tc>
        <w:tc>
          <w:tcPr>
            <w:tcW w:w="1573" w:type="dxa"/>
          </w:tcPr>
          <w:p>
            <w:pPr>
              <w:spacing w:before="0" w:after="0" w:line="240" w:lineRule="auto"/>
              <w:jc w:val="center"/>
            </w:pPr>
            <w:r/>
            <w:r>
              <w:rPr>
                <w:rFonts w:ascii="Calibri" w:hAnsi="Calibri"/>
                <w:b/>
                <w:sz w:val="18"/>
              </w:rPr>
              <w:t>Member 5</w:t>
              <w:br/>
            </w:r>
            <w:r>
              <w:rPr>
                <w:rFonts w:ascii="Calibri" w:hAnsi="Calibri"/>
                <w:sz w:val="16"/>
              </w:rPr>
              <w:t>Thilakarathne H. S. K. P. N.</w:t>
              <w:br/>
            </w:r>
            <w:r>
              <w:rPr>
                <w:rFonts w:ascii="Calibri" w:hAnsi="Calibri"/>
                <w:b/>
                <w:sz w:val="17"/>
              </w:rPr>
              <w:t>IT25103363</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Good</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Good</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Could add quick-search shortcuts for patient MRN lookup; support temporary guest patient registrations for emergencies.</w:t>
            </w:r>
          </w:p>
        </w:tc>
        <w:tc>
          <w:tcPr>
            <w:tcW w:w="1411" w:type="dxa"/>
          </w:tcPr>
          <w:p>
            <w:pPr>
              <w:spacing w:before="0" w:after="0" w:line="252" w:lineRule="auto"/>
            </w:pPr>
            <w:r/>
            <w:r>
              <w:rPr>
                <w:rFonts w:ascii="Calibri" w:hAnsi="Calibri"/>
                <w:sz w:val="16"/>
              </w:rPr>
              <w:t>Could support dynamic break times within doctor shift intervals; optimize doctor specialty filtering speed.</w:t>
            </w:r>
          </w:p>
        </w:tc>
        <w:tc>
          <w:tcPr>
            <w:tcW w:w="1411" w:type="dxa"/>
          </w:tcPr>
          <w:p>
            <w:pPr>
              <w:spacing w:before="0" w:after="0" w:line="252" w:lineRule="auto"/>
            </w:pPr>
            <w:r/>
            <w:r>
              <w:rPr>
                <w:rFonts w:ascii="Calibri" w:hAnsi="Calibri"/>
                <w:sz w:val="16"/>
              </w:rPr>
              <w:t>Add barcode scanning support for drug batches; enhance batch expiration alert dashboard notifications.</w:t>
            </w:r>
          </w:p>
        </w:tc>
        <w:tc>
          <w:tcPr>
            <w:tcW w:w="1411" w:type="dxa"/>
          </w:tcPr>
          <w:p>
            <w:pPr>
              <w:spacing w:before="0" w:after="0" w:line="252" w:lineRule="auto"/>
            </w:pPr>
            <w:r/>
            <w:r>
              <w:rPr>
                <w:rFonts w:ascii="Calibri" w:hAnsi="Calibri"/>
                <w:sz w:val="16"/>
              </w:rPr>
              <w:t>Could streamline backend error response formatting; consider adding recurring invoice generation for ongoing treatments.</w:t>
            </w:r>
          </w:p>
        </w:tc>
        <w:tc>
          <w:tcPr>
            <w:tcW w:w="1573" w:type="dxa"/>
          </w:tcPr>
          <w:p>
            <w:pPr>
              <w:spacing w:before="0" w:after="0" w:line="252" w:lineRule="auto"/>
            </w:pPr>
            <w:r/>
            <w:r>
              <w:rPr>
                <w:rFonts w:ascii="Calibri" w:hAnsi="Calibri"/>
                <w:sz w:val="16"/>
              </w:rPr>
              <w:t>Add quick-preset test result templates for common lab panels; support urgent priority flags for STAT lab requests.</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Very supportive and collaborative. Dila ensured patient records provided all necessary demographic data for smooth appointment booking.</w:t>
            </w:r>
          </w:p>
        </w:tc>
        <w:tc>
          <w:tcPr>
            <w:tcW w:w="1411" w:type="dxa"/>
          </w:tcPr>
          <w:p>
            <w:pPr>
              <w:spacing w:before="0" w:after="0" w:line="252" w:lineRule="auto"/>
            </w:pPr>
            <w:r/>
            <w:r>
              <w:rPr>
                <w:rFonts w:ascii="Calibri" w:hAnsi="Calibri"/>
                <w:sz w:val="16"/>
              </w:rPr>
              <w:t>Excellent Scrum Master and teammate. We worked together daily to synchronize doctor rosters with appointment slots, preventing any schedule mismatch.</w:t>
            </w:r>
          </w:p>
        </w:tc>
        <w:tc>
          <w:tcPr>
            <w:tcW w:w="1411" w:type="dxa"/>
          </w:tcPr>
          <w:p>
            <w:pPr>
              <w:spacing w:before="0" w:after="0" w:line="252" w:lineRule="auto"/>
            </w:pPr>
            <w:r/>
            <w:r>
              <w:rPr>
                <w:rFonts w:ascii="Calibri" w:hAnsi="Calibri"/>
                <w:sz w:val="16"/>
              </w:rPr>
              <w:t>Solid implementation of pharmacy inventory. Delivered reliable stock management and coordinated well during cross-module test scenarios.</w:t>
            </w:r>
          </w:p>
        </w:tc>
        <w:tc>
          <w:tcPr>
            <w:tcW w:w="1411" w:type="dxa"/>
          </w:tcPr>
          <w:p>
            <w:pPr>
              <w:spacing w:before="0" w:after="0" w:line="252" w:lineRule="auto"/>
            </w:pPr>
            <w:r/>
            <w:r>
              <w:rPr>
                <w:rFonts w:ascii="Calibri" w:hAnsi="Calibri"/>
                <w:sz w:val="16"/>
              </w:rPr>
              <w:t>Incredible group leader. Kesaru provided continuous architectural support, set up the live server environment, and built the billing system seamlessly.</w:t>
            </w:r>
          </w:p>
        </w:tc>
        <w:tc>
          <w:tcPr>
            <w:tcW w:w="1573" w:type="dxa"/>
          </w:tcPr>
          <w:p>
            <w:pPr>
              <w:spacing w:before="0" w:after="0" w:line="252" w:lineRule="auto"/>
            </w:pPr>
            <w:r/>
            <w:r>
              <w:rPr>
                <w:rFonts w:ascii="Calibri" w:hAnsi="Calibri"/>
                <w:sz w:val="16"/>
              </w:rPr>
              <w:t>Very dedicated developer. Delivered pathology lab order tracking and result entry on time, maintaining strong consistency across database tables.</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Outstanding teamwork and collaboration across all phases. The coordination between patient records, doctor schedules, and appointment bookings worked flawlessly without any friction or delays.</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Everyone contributed equally and supported each other during critical sprint integration deadlines. The team demonstrated high professional standards, transparent communication, and mutual trust.</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