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612pkhz6ytn" w:id="0"/>
      <w:bookmarkEnd w:id="0"/>
      <w:r w:rsidDel="00000000" w:rsidR="00000000" w:rsidRPr="00000000">
        <w:rPr>
          <w:rtl w:val="0"/>
        </w:rPr>
        <w:t xml:space="preserve">ADR-030: Structured Logging Standard</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ybgzecjnvfdw"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Logs from our Python/FastAPI services flow to a central logging backend where volume drives cost and structure drives usefulness. Free-form, human-oriented log lines are hard to filter, expensive to store, and impossible to join across service boundaries.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Two recurring problems motivated a standard. First, verbose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logging was left enabled in production, so logging cost and disk usage spiked while real signal drowned in noise. Second, cross-service failures were effectively undebuggable because requests carried no correlation identifier, so log lines emitted by different services for the same request could not be joined. Together these made logs both too expensive and too weak. This ADR mandates machine-parsable, level-controlled, correlated logging so that volume is controllable and a single request can be traced end to end.</w:t>
      </w:r>
    </w:p>
    <w:p w:rsidR="00000000" w:rsidDel="00000000" w:rsidP="00000000" w:rsidRDefault="00000000" w:rsidRPr="00000000" w14:paraId="0000000A">
      <w:pPr>
        <w:pStyle w:val="Heading2"/>
        <w:rPr/>
      </w:pPr>
      <w:bookmarkStart w:colFirst="0" w:colLast="0" w:name="_xkwmr3hv31sm" w:id="2"/>
      <w:bookmarkEnd w:id="2"/>
      <w:r w:rsidDel="00000000" w:rsidR="00000000" w:rsidRPr="00000000">
        <w:rPr>
          <w:rtl w:val="0"/>
        </w:rPr>
        <w:t xml:space="preserve">Decision</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emit logs as structured records (one JSON object per line) with a consistent schema. Unstructured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/free-text log lines are prohibited on the request path.</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log record MUST include, at minimum: timestamp (UTC, ISO-8601), severity, service identity, message, and a correlation/trace identifier.</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propagate a trace/correlation identifier across all inbound and outbound calls using W3C </w:t>
      </w:r>
      <w:r w:rsidDel="00000000" w:rsidR="00000000" w:rsidRPr="00000000">
        <w:rPr>
          <w:rFonts w:ascii="Roboto Mono" w:cs="Roboto Mono" w:eastAsia="Roboto Mono" w:hAnsi="Roboto Mono"/>
          <w:color w:val="188038"/>
          <w:rtl w:val="0"/>
        </w:rPr>
        <w:t xml:space="preserve">traceparent</w:t>
      </w:r>
      <w:r w:rsidDel="00000000" w:rsidR="00000000" w:rsidRPr="00000000">
        <w:rPr>
          <w:rtl w:val="0"/>
        </w:rPr>
        <w:t xml:space="preserve">, and MUST include that identifier in every log line so records join across services.</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log level MUST be read from configuration and default to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or higher in production.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MUST NOT be the production default and MUST be time-boxed when enabled for investigation.</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Noisy loggers MUST be sampled or rate-limited so a single code path cannot dominate log volume or cost.</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 fields MUST use stable, low-cardinality keys. High-cardinality per-request detail belongs in the correlated trace, not in duplicated log fields.</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Records MUST NOT include secrets or sensitive payloads; field redaction is governed by the PII-in-logs policy.</w:t>
      </w:r>
    </w:p>
    <w:p w:rsidR="00000000" w:rsidDel="00000000" w:rsidP="00000000" w:rsidRDefault="00000000" w:rsidRPr="00000000" w14:paraId="00000012">
      <w:pPr>
        <w:pStyle w:val="Heading2"/>
        <w:rPr/>
      </w:pPr>
      <w:bookmarkStart w:colFirst="0" w:colLast="0" w:name="_im1r5q4ni2bw" w:id="3"/>
      <w:bookmarkEnd w:id="3"/>
      <w:r w:rsidDel="00000000" w:rsidR="00000000" w:rsidRPr="00000000">
        <w:rPr>
          <w:rtl w:val="0"/>
        </w:rPr>
        <w:t xml:space="preserve">Consequences</w:t>
      </w:r>
    </w:p>
    <w:p w:rsidR="00000000" w:rsidDel="00000000" w:rsidP="00000000" w:rsidRDefault="00000000" w:rsidRPr="00000000" w14:paraId="00000013">
      <w:pPr>
        <w:rPr/>
      </w:pPr>
      <w:r w:rsidDel="00000000" w:rsidR="00000000" w:rsidRPr="00000000">
        <w:rPr>
          <w:rtl w:val="0"/>
        </w:rPr>
        <w:t xml:space="preserve">Operators can filter, aggregate, and alert on logs reliably, and can reconstruct a request's path across services from its correlation identifier. Config-driven levels and sampling put volume and spend under explicit control. Teams adopt a shared logging library/schema and instrument identifier propagation, a modest one-time cost. Structured output is slightly less readable raw, but tooling renders it and the tradeoff favors machine analysis at scale.</w:t>
      </w:r>
    </w:p>
    <w:p w:rsidR="00000000" w:rsidDel="00000000" w:rsidP="00000000" w:rsidRDefault="00000000" w:rsidRPr="00000000" w14:paraId="00000014">
      <w:pPr>
        <w:pStyle w:val="Heading2"/>
        <w:rPr/>
      </w:pPr>
      <w:bookmarkStart w:colFirst="0" w:colLast="0" w:name="_lah0gz948s1x" w:id="4"/>
      <w:bookmarkEnd w:id="4"/>
      <w:r w:rsidDel="00000000" w:rsidR="00000000" w:rsidRPr="00000000">
        <w:rPr>
          <w:rtl w:val="0"/>
        </w:rPr>
        <w:t xml:space="preserve">Compliance &amp; exceptions</w:t>
      </w:r>
    </w:p>
    <w:p w:rsidR="00000000" w:rsidDel="00000000" w:rsidP="00000000" w:rsidRDefault="00000000" w:rsidRPr="00000000" w14:paraId="00000015">
      <w:pPr>
        <w:rPr/>
      </w:pPr>
      <w:r w:rsidDel="00000000" w:rsidR="00000000" w:rsidRPr="00000000">
        <w:rPr>
          <w:rtl w:val="0"/>
        </w:rPr>
        <w:t xml:space="preserve">Conformance is checked by log-schema validation in the pipeline and by alerts on anomalous volume and on records missing a correlation identifier. Exceptions require a time-boxed, documented waiver approved by Platform Engineering.</w:t>
      </w:r>
    </w:p>
    <w:p w:rsidR="00000000" w:rsidDel="00000000" w:rsidP="00000000" w:rsidRDefault="00000000" w:rsidRPr="00000000" w14:paraId="00000016">
      <w:pPr>
        <w:pStyle w:val="Heading2"/>
        <w:rPr/>
      </w:pPr>
      <w:bookmarkStart w:colFirst="0" w:colLast="0" w:name="_6t2zmyhjnhvc" w:id="5"/>
      <w:bookmarkEnd w:id="5"/>
      <w:r w:rsidDel="00000000" w:rsidR="00000000" w:rsidRPr="00000000">
        <w:rPr>
          <w:rtl w:val="0"/>
        </w:rPr>
        <w:t xml:space="preserve">Related incidents</w:t>
      </w:r>
    </w:p>
    <w:p w:rsidR="00000000" w:rsidDel="00000000" w:rsidP="00000000" w:rsidRDefault="00000000" w:rsidRPr="00000000" w14:paraId="00000017">
      <w:pPr>
        <w:rPr/>
      </w:pPr>
      <w:r w:rsidDel="00000000" w:rsidR="00000000" w:rsidRPr="00000000">
        <w:rPr>
          <w:rtl w:val="0"/>
        </w:rPr>
        <w:t xml:space="preserve">BUG-1071 BUG-1073</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