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2dqxhshboe5" w:id="0"/>
      <w:bookmarkEnd w:id="0"/>
      <w:r w:rsidDel="00000000" w:rsidR="00000000" w:rsidRPr="00000000">
        <w:rPr>
          <w:rtl w:val="0"/>
        </w:rPr>
        <w:t xml:space="preserve">Policy: Authentication &amp; Token Lifetime Standard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Effective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Security Engineering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All backend services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Last reviewed:</w:t>
      </w:r>
      <w:r w:rsidDel="00000000" w:rsidR="00000000" w:rsidRPr="00000000">
        <w:rPr>
          <w:rtl w:val="0"/>
        </w:rPr>
        <w:t xml:space="preserve"> 2026-01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f7gofqh1r0vs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Service-to-service authentication fails in predictable, preventable ways when identities, permissions, and token lifetimes are handled inconsistently. Motivating incidents include a deployed service receiving PERMISSION_DENIED because its runtime identity lacked the required role, valid tokens being rejected due to clock skew between peers, and long-running operations failing midway when a cached access token expired. This policy sets org-wide rules for workload identity, least-privilege authorization, and token lifetime and refresh so that authentication is reliable and secure across all services (api-service, auth-service, worker-service, ingestion-service, gateway, scheduler) on Cloud Run and GKE.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wfgvi1aog7be" w:id="2"/>
      <w:bookmarkEnd w:id="2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Every service MUST authenticate using a dedicated, per-service workload identity via Application Default Credentials. Shared identities and long-lived exported credential keys are prohibited.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Runtime identities MUST be granted least-privilege roles scoped to the specific resources they access. Broad or project-wide privilege grants are prohibited, and required permissions MUST be verified before rollout.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Clients MUST use an auth library that automatically refreshes access tokens. Tokens MUST be refreshed before expiry (before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expires_in</w:t>
      </w:r>
      <w:r w:rsidDel="00000000" w:rsidR="00000000" w:rsidRPr="00000000">
        <w:rPr>
          <w:rtl w:val="0"/>
        </w:rPr>
        <w:t xml:space="preserve"> minus a safety skew) and MUST NOT be cached beyond that point.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Long-running operations MUST NOT depend on a token captured at the start of the request; the caller MUST hold a refreshable credential so the operation cannot fail mid-flight on expiry.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Token verifiers MUST allow a small validation leeway (on the order of tens of seconds)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nbf</w:t>
      </w:r>
      <w:r w:rsidDel="00000000" w:rsidR="00000000" w:rsidRPr="00000000">
        <w:rPr>
          <w:rtl w:val="0"/>
        </w:rPr>
        <w:t xml:space="preserve">, and all hosts MUST synchronize clocks via NTP. Token lifetimes MUST NOT be set shorter than the tolerated clock skew.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Access tokens MUST be short-lived; the platform default is one hour or less. Verifiers MUST validate audience and issuer against per-environment configuration, never hard-coded constants.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Authentication material MUST NEVER be logged or persisted outside an approved secret store, and any exposed credential MUST be revoked immediately.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4l459s7n0c3" w:id="3"/>
      <w:bookmarkEnd w:id="3"/>
      <w:r w:rsidDel="00000000" w:rsidR="00000000" w:rsidRPr="00000000">
        <w:rPr>
          <w:rtl w:val="0"/>
        </w:rPr>
        <w:t xml:space="preserve">Enforcement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Security Engineering reviews IAM grants against least-privilege baselines, and overly broad grants are flagged and must be remediated. CI checks reject exported credential keys and hard-coded audience/issuer values. Authentication error rates (401/403) and token-refresh failures are monitored, and spikes are triaged as security incidents. Deployment gates verify that each service uses a dedicated workload identity.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5ue5y8nlhbi" w:id="4"/>
      <w:bookmarkEnd w:id="4"/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Exceptions — for example, a longer token lifetime for a constrained legacy dependency — require Security Engineering approval, a documented risk assessment, compensating controls, and a time-boxed expiry. No exception may permit shared identities, exported long-lived keys, or disabling audience/issuer validation.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nizj0la1jpom" w:id="5"/>
      <w:bookmarkEnd w:id="5"/>
      <w:r w:rsidDel="00000000" w:rsidR="00000000" w:rsidRPr="00000000">
        <w:rPr>
          <w:rtl w:val="0"/>
        </w:rPr>
        <w:t xml:space="preserve">Related incidents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BUG-1017, BUG-1009, BUG-1018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