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0A88C"/>
          <w:spacing w:val="30"/>
          <w:sz w:val="20"/>
          <w:szCs w:val="20"/>
        </w:rPr>
        <w:t xml:space="preserve">CRMITDESK EVOLVED</w:t>
      </w:r>
    </w:p>
    <w:p>
      <w:pPr>
        <w:spacing w:after="200"/>
      </w:pPr>
      <w:r>
        <w:rPr>
          <w:rFonts w:ascii="Cambria" w:cs="Cambria" w:eastAsia="Cambria" w:hAnsi="Cambria"/>
          <w:b/>
          <w:bCs/>
          <w:color w:val="141B41"/>
          <w:sz w:val="44"/>
          <w:szCs w:val="44"/>
        </w:rPr>
        <w:t xml:space="preserve">Licensing &amp; Plans Specification</w:t>
      </w:r>
    </w:p>
    <w:p>
      <w:pPr>
        <w:spacing w:after="500"/>
      </w:pPr>
      <w:r>
        <w:rPr>
          <w:rFonts w:ascii="Calibri" w:cs="Calibri" w:eastAsia="Calibri" w:hAnsi="Calibri"/>
          <w:i/>
          <w:iCs/>
          <w:color w:val="5B6284"/>
          <w:sz w:val="21"/>
          <w:szCs w:val="21"/>
        </w:rPr>
        <w:t xml:space="preserve">Current implementation, enforcement mechanics, and roadmap for seat-based licensing, feature gating, billing, and usage tracking.</w:t>
      </w:r>
    </w:p>
    <w:p>
      <w:pPr>
        <w:pStyle w:val="Heading1"/>
        <w:pBdr>
          <w:bottom w:val="single" w:color="00A88C" w:sz="6" w:space="4"/>
        </w:pBdr>
        <w:spacing w:after="200" w:before="420"/>
      </w:pPr>
      <w:r>
        <w:rPr>
          <w:rFonts w:ascii="Cambria" w:cs="Cambria" w:eastAsia="Cambria" w:hAnsi="Cambria"/>
          <w:b/>
          <w:bCs/>
          <w:color w:val="141B41"/>
          <w:sz w:val="30"/>
          <w:szCs w:val="30"/>
        </w:rPr>
        <w:t xml:space="preserve">1. Overview</w:t>
      </w:r>
    </w:p>
    <w:p>
      <w:pPr>
        <w:spacing w:after="160" w:line="300"/>
      </w:pPr>
      <w:r>
        <w:rPr>
          <w:rFonts w:ascii="Calibri" w:cs="Calibri" w:eastAsia="Calibri" w:hAnsi="Calibri"/>
          <w:color w:val="262626"/>
          <w:sz w:val="21"/>
          <w:szCs w:val="21"/>
        </w:rPr>
        <w:t xml:space="preserve">CRMITdesk Evolved is licensed on a seat-based model with plan-tiered feature access, layered on top of Stripe-managed billing. This document is the single reference for how licensing works today, what is enforced in code, and what remains to be built for the pricing changes still under discussion: an annual billing discount, a negotiated custom tier, and a trial period.</w:t>
      </w:r>
    </w:p>
    <w:p>
      <w:pPr>
        <w:spacing w:after="160" w:line="300"/>
      </w:pPr>
      <w:r>
        <w:rPr>
          <w:rFonts w:ascii="Calibri" w:cs="Calibri" w:eastAsia="Calibri" w:hAnsi="Calibri"/>
          <w:color w:val="262626"/>
          <w:sz w:val="21"/>
          <w:szCs w:val="21"/>
        </w:rPr>
        <w:t xml:space="preserve">Everything under "Currently Implemented" reflects code already committed to the repository. Everything under "Roadmap — Not Yet Implemented" is scoped but not built, pending specific business parameters (discount percentage, trial length, and so on).</w:t>
      </w:r>
    </w:p>
    <w:p>
      <w:pPr>
        <w:pStyle w:val="Heading1"/>
        <w:pBdr>
          <w:bottom w:val="single" w:color="00A88C" w:sz="6" w:space="4"/>
        </w:pBdr>
        <w:spacing w:after="200" w:before="420"/>
      </w:pPr>
      <w:r>
        <w:rPr>
          <w:rFonts w:ascii="Cambria" w:cs="Cambria" w:eastAsia="Cambria" w:hAnsi="Cambria"/>
          <w:b/>
          <w:bCs/>
          <w:color w:val="141B41"/>
          <w:sz w:val="30"/>
          <w:szCs w:val="30"/>
        </w:rPr>
        <w:t xml:space="preserve">2. Plan Tiers &amp; Pricing</w:t>
      </w:r>
    </w:p>
    <w:p>
      <w:pPr>
        <w:spacing w:after="160" w:line="300"/>
      </w:pPr>
      <w:r>
        <w:rPr>
          <w:rFonts w:ascii="Calibri" w:cs="Calibri" w:eastAsia="Calibri" w:hAnsi="Calibri"/>
          <w:color w:val="262626"/>
          <w:sz w:val="21"/>
          <w:szCs w:val="21"/>
        </w:rPr>
        <w:t xml:space="preserve">Three self-serve plans exist today, configured in server/src/utils/stripe.ts (PLANS) and billed through Stripe Checkout + the Billing Portal. Feature access below is enforced, not just advertised — see Section 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4680"/>
      </w:tblGrid>
      <w:tr>
        <w:tc>
          <w:tcPr>
            <w:tcW w:type="dxa" w:w="2200"/>
            <w:shd w:fill="141B4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Plan</w:t>
            </w:r>
          </w:p>
        </w:tc>
        <w:tc>
          <w:tcPr>
            <w:tcW w:type="dxa" w:w="1600"/>
            <w:shd w:fill="141B4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Price / mo</w:t>
            </w:r>
          </w:p>
        </w:tc>
        <w:tc>
          <w:tcPr>
            <w:tcW w:type="dxa" w:w="1600"/>
            <w:shd w:fill="141B4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Billable seats</w:t>
            </w:r>
          </w:p>
        </w:tc>
        <w:tc>
          <w:tcPr>
            <w:tcW w:type="dxa" w:w="4680"/>
            <w:shd w:fill="141B4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Feature access</w:t>
            </w:r>
          </w:p>
        </w:tc>
      </w:tr>
      <w:tr>
        <w:tc>
          <w:tcPr>
            <w:tcW w:type="dxa" w:w="2200"/>
            <w:shd w:fill="EEF1FB" w:val="clear"/>
            <w:tcMar>
              <w:top w:type="dxa" w:w="100"/>
              <w:left w:type="dxa" w:w="120"/>
              <w:bottom w:type="dxa" w:w="100"/>
              <w:right w:type="dxa" w:w="120"/>
            </w:tcMar>
            <w:vAlign w:val="center"/>
          </w:tcPr>
          <w:p>
            <w:r>
              <w:rPr>
                <w:rFonts w:ascii="Calibri" w:cs="Calibri" w:eastAsia="Calibri" w:hAnsi="Calibri"/>
                <w:b/>
                <w:bCs/>
                <w:color w:val="262626"/>
                <w:sz w:val="19"/>
                <w:szCs w:val="19"/>
              </w:rPr>
              <w:t xml:space="preserve">Free</w:t>
            </w:r>
          </w:p>
        </w:tc>
        <w:tc>
          <w:tcPr>
            <w:tcW w:type="dxa" w:w="1600"/>
            <w:shd w:fill="EEF1FB" w:val="clear"/>
            <w:tcMar>
              <w:top w:type="dxa" w:w="100"/>
              <w:left w:type="dxa" w:w="120"/>
              <w:bottom w:type="dxa" w:w="100"/>
              <w:right w:type="dxa" w:w="120"/>
            </w:tcMar>
            <w:vAlign w:val="center"/>
          </w:tcPr>
          <w:p>
            <w:r>
              <w:rPr>
                <w:rFonts w:ascii="Calibri" w:cs="Calibri" w:eastAsia="Calibri" w:hAnsi="Calibri"/>
                <w:color w:val="262626"/>
                <w:sz w:val="19"/>
                <w:szCs w:val="19"/>
              </w:rPr>
              <w:t xml:space="preserve">$0</w:t>
            </w:r>
          </w:p>
        </w:tc>
        <w:tc>
          <w:tcPr>
            <w:tcW w:type="dxa" w:w="1600"/>
            <w:shd w:fill="EEF1FB" w:val="clear"/>
            <w:tcMar>
              <w:top w:type="dxa" w:w="100"/>
              <w:left w:type="dxa" w:w="120"/>
              <w:bottom w:type="dxa" w:w="100"/>
              <w:right w:type="dxa" w:w="120"/>
            </w:tcMar>
            <w:vAlign w:val="center"/>
          </w:tcPr>
          <w:p>
            <w:r>
              <w:rPr>
                <w:rFonts w:ascii="Calibri" w:cs="Calibri" w:eastAsia="Calibri" w:hAnsi="Calibri"/>
                <w:color w:val="262626"/>
                <w:sz w:val="19"/>
                <w:szCs w:val="19"/>
              </w:rPr>
              <w:t xml:space="preserve">5</w:t>
            </w:r>
          </w:p>
        </w:tc>
        <w:tc>
          <w:tcPr>
            <w:tcW w:type="dxa" w:w="4680"/>
            <w:shd w:fill="EEF1FB" w:val="clear"/>
            <w:tcMar>
              <w:top w:type="dxa" w:w="100"/>
              <w:left w:type="dxa" w:w="120"/>
              <w:bottom w:type="dxa" w:w="100"/>
              <w:right w:type="dxa" w:w="120"/>
            </w:tcMar>
            <w:vAlign w:val="center"/>
          </w:tcPr>
          <w:p>
            <w:r>
              <w:rPr>
                <w:rFonts w:ascii="Calibri" w:cs="Calibri" w:eastAsia="Calibri" w:hAnsi="Calibri"/>
                <w:color w:val="262626"/>
                <w:sz w:val="19"/>
                <w:szCs w:val="19"/>
              </w:rPr>
              <w:t xml:space="preserve">CRM + IT Desk core, email notifications, core AI (lead scoring, ticket sentiment, auto-routing, auto-tagging), community support</w:t>
            </w:r>
          </w:p>
        </w:tc>
      </w:tr>
      <w:tr>
        <w:tc>
          <w:tcPr>
            <w:tcW w:type="dxa" w:w="2200"/>
            <w:tcMar>
              <w:top w:type="dxa" w:w="100"/>
              <w:left w:type="dxa" w:w="120"/>
              <w:bottom w:type="dxa" w:w="100"/>
              <w:right w:type="dxa" w:w="120"/>
            </w:tcMar>
            <w:vAlign w:val="center"/>
          </w:tcPr>
          <w:p>
            <w:r>
              <w:rPr>
                <w:rFonts w:ascii="Calibri" w:cs="Calibri" w:eastAsia="Calibri" w:hAnsi="Calibri"/>
                <w:b/>
                <w:bCs/>
                <w:color w:val="262626"/>
                <w:sz w:val="19"/>
                <w:szCs w:val="19"/>
              </w:rPr>
              <w:t xml:space="preserve">Pro</w:t>
            </w:r>
          </w:p>
        </w:tc>
        <w:tc>
          <w:tcPr>
            <w:tcW w:type="dxa" w:w="1600"/>
            <w:tcMar>
              <w:top w:type="dxa" w:w="100"/>
              <w:left w:type="dxa" w:w="120"/>
              <w:bottom w:type="dxa" w:w="100"/>
              <w:right w:type="dxa" w:w="120"/>
            </w:tcMar>
            <w:vAlign w:val="center"/>
          </w:tcPr>
          <w:p>
            <w:r>
              <w:rPr>
                <w:rFonts w:ascii="Calibri" w:cs="Calibri" w:eastAsia="Calibri" w:hAnsi="Calibri"/>
                <w:color w:val="262626"/>
                <w:sz w:val="19"/>
                <w:szCs w:val="19"/>
              </w:rPr>
              <w:t xml:space="preserve">$49</w:t>
            </w:r>
          </w:p>
        </w:tc>
        <w:tc>
          <w:tcPr>
            <w:tcW w:type="dxa" w:w="1600"/>
            <w:tcMar>
              <w:top w:type="dxa" w:w="100"/>
              <w:left w:type="dxa" w:w="120"/>
              <w:bottom w:type="dxa" w:w="100"/>
              <w:right w:type="dxa" w:w="120"/>
            </w:tcMar>
            <w:vAlign w:val="center"/>
          </w:tcPr>
          <w:p>
            <w:r>
              <w:rPr>
                <w:rFonts w:ascii="Calibri" w:cs="Calibri" w:eastAsia="Calibri" w:hAnsi="Calibri"/>
                <w:color w:val="262626"/>
                <w:sz w:val="19"/>
                <w:szCs w:val="19"/>
              </w:rPr>
              <w:t xml:space="preserve">25</w:t>
            </w:r>
          </w:p>
        </w:tc>
        <w:tc>
          <w:tcPr>
            <w:tcW w:type="dxa" w:w="4680"/>
            <w:tcMar>
              <w:top w:type="dxa" w:w="100"/>
              <w:left w:type="dxa" w:w="120"/>
              <w:bottom w:type="dxa" w:w="100"/>
              <w:right w:type="dxa" w:w="120"/>
            </w:tcMar>
            <w:vAlign w:val="center"/>
          </w:tcPr>
          <w:p>
            <w:r>
              <w:rPr>
                <w:rFonts w:ascii="Calibri" w:cs="Calibri" w:eastAsia="Calibri" w:hAnsi="Calibri"/>
                <w:color w:val="262626"/>
                <w:sz w:val="19"/>
                <w:szCs w:val="19"/>
              </w:rPr>
              <w:t xml:space="preserve">Everything in Free + advanced AI (AI Studio, custom functions/scripts, NL command bar, insights, and more — see 4.1), workflow automation, customer portal, advanced analytics, priority support</w:t>
            </w:r>
          </w:p>
        </w:tc>
      </w:tr>
      <w:tr>
        <w:tc>
          <w:tcPr>
            <w:tcW w:type="dxa" w:w="2200"/>
            <w:shd w:fill="EEF1FB" w:val="clear"/>
            <w:tcMar>
              <w:top w:type="dxa" w:w="100"/>
              <w:left w:type="dxa" w:w="120"/>
              <w:bottom w:type="dxa" w:w="100"/>
              <w:right w:type="dxa" w:w="120"/>
            </w:tcMar>
            <w:vAlign w:val="center"/>
          </w:tcPr>
          <w:p>
            <w:r>
              <w:rPr>
                <w:rFonts w:ascii="Calibri" w:cs="Calibri" w:eastAsia="Calibri" w:hAnsi="Calibri"/>
                <w:b/>
                <w:bCs/>
                <w:color w:val="262626"/>
                <w:sz w:val="19"/>
                <w:szCs w:val="19"/>
              </w:rPr>
              <w:t xml:space="preserve">Enterprise</w:t>
            </w:r>
          </w:p>
        </w:tc>
        <w:tc>
          <w:tcPr>
            <w:tcW w:type="dxa" w:w="1600"/>
            <w:shd w:fill="EEF1FB" w:val="clear"/>
            <w:tcMar>
              <w:top w:type="dxa" w:w="100"/>
              <w:left w:type="dxa" w:w="120"/>
              <w:bottom w:type="dxa" w:w="100"/>
              <w:right w:type="dxa" w:w="120"/>
            </w:tcMar>
            <w:vAlign w:val="center"/>
          </w:tcPr>
          <w:p>
            <w:r>
              <w:rPr>
                <w:rFonts w:ascii="Calibri" w:cs="Calibri" w:eastAsia="Calibri" w:hAnsi="Calibri"/>
                <w:color w:val="262626"/>
                <w:sz w:val="19"/>
                <w:szCs w:val="19"/>
              </w:rPr>
              <w:t xml:space="preserve">$149</w:t>
            </w:r>
          </w:p>
        </w:tc>
        <w:tc>
          <w:tcPr>
            <w:tcW w:type="dxa" w:w="1600"/>
            <w:shd w:fill="EEF1FB" w:val="clear"/>
            <w:tcMar>
              <w:top w:type="dxa" w:w="100"/>
              <w:left w:type="dxa" w:w="120"/>
              <w:bottom w:type="dxa" w:w="100"/>
              <w:right w:type="dxa" w:w="120"/>
            </w:tcMar>
            <w:vAlign w:val="center"/>
          </w:tcPr>
          <w:p>
            <w:r>
              <w:rPr>
                <w:rFonts w:ascii="Calibri" w:cs="Calibri" w:eastAsia="Calibri" w:hAnsi="Calibri"/>
                <w:color w:val="262626"/>
                <w:sz w:val="19"/>
                <w:szCs w:val="19"/>
              </w:rPr>
              <w:t xml:space="preserve">999 (effectively unlimited)</w:t>
            </w:r>
          </w:p>
        </w:tc>
        <w:tc>
          <w:tcPr>
            <w:tcW w:type="dxa" w:w="4680"/>
            <w:shd w:fill="EEF1FB" w:val="clear"/>
            <w:tcMar>
              <w:top w:type="dxa" w:w="100"/>
              <w:left w:type="dxa" w:w="120"/>
              <w:bottom w:type="dxa" w:w="100"/>
              <w:right w:type="dxa" w:w="120"/>
            </w:tcMar>
            <w:vAlign w:val="center"/>
          </w:tcPr>
          <w:p>
            <w:r>
              <w:rPr>
                <w:rFonts w:ascii="Calibri" w:cs="Calibri" w:eastAsia="Calibri" w:hAnsi="Calibri"/>
                <w:color w:val="262626"/>
                <w:sz w:val="19"/>
                <w:szCs w:val="19"/>
              </w:rPr>
              <w:t xml:space="preserve">Everything in Pro + custom branding, SSO/SAML*, SLA guarantees*, dedicated account manager*</w:t>
            </w:r>
          </w:p>
        </w:tc>
      </w:tr>
    </w:tbl>
    <w:p>
      <w:pPr>
        <w:spacing w:after="100" w:before="200"/>
      </w:pPr>
      <w:r>
        <w:rPr>
          <w:rFonts w:ascii="Calibri" w:cs="Calibri" w:eastAsia="Calibri" w:hAnsi="Calibri"/>
          <w:b/>
          <w:bCs/>
          <w:color w:val="9A6700"/>
          <w:sz w:val="19"/>
          <w:szCs w:val="19"/>
        </w:rPr>
        <w:t xml:space="preserve">* </w:t>
      </w:r>
      <w:r>
        <w:rPr>
          <w:rFonts w:ascii="Calibri" w:cs="Calibri" w:eastAsia="Calibri" w:hAnsi="Calibri"/>
          <w:i/>
          <w:iCs/>
          <w:color w:val="9A6700"/>
          <w:sz w:val="19"/>
          <w:szCs w:val="19"/>
        </w:rPr>
        <w:t xml:space="preserve">SSO/SAML, SLA guarantees, and a dedicated account manager are listed on the pricing page but have no corresponding software gate — SSO isn’t built at all, and the other two are support commitments rather than product features. Not part of the feature-gating system in Section 4.</w:t>
      </w:r>
    </w:p>
    <w:p>
      <w:pPr>
        <w:spacing w:after="200" w:line="300"/>
      </w:pPr>
      <w:r>
        <w:rPr>
          <w:rFonts w:ascii="Calibri" w:cs="Calibri" w:eastAsia="Calibri" w:hAnsi="Calibri"/>
          <w:i/>
          <w:iCs/>
          <w:color w:val="9A6700"/>
          <w:sz w:val="19"/>
          <w:szCs w:val="19"/>
        </w:rPr>
        <w:t xml:space="preserve">Attachment storage quota is separate from seats and features above — Free must bring their own Google Drive (no quota from us), Pro includes 5GB hosted, Enterprise includes 50GB hosted. See Section 7.</w:t>
      </w:r>
    </w:p>
    <w:p>
      <w:pPr>
        <w:pStyle w:val="Heading1"/>
        <w:pBdr>
          <w:bottom w:val="single" w:color="00A88C" w:sz="6" w:space="4"/>
        </w:pBdr>
        <w:spacing w:after="200" w:before="420"/>
      </w:pPr>
      <w:r>
        <w:rPr>
          <w:rFonts w:ascii="Cambria" w:cs="Cambria" w:eastAsia="Cambria" w:hAnsi="Cambria"/>
          <w:b/>
          <w:bCs/>
          <w:color w:val="141B41"/>
          <w:sz w:val="30"/>
          <w:szCs w:val="30"/>
        </w:rPr>
        <w:t xml:space="preserve">3. Seat-Based Licensing (Currently Implemented)</w:t>
      </w:r>
    </w:p>
    <w:p>
      <w:pPr>
        <w:pStyle w:val="Heading2"/>
        <w:spacing w:after="120" w:before="300"/>
      </w:pPr>
      <w:r>
        <w:rPr>
          <w:rFonts w:ascii="Cambria" w:cs="Cambria" w:eastAsia="Cambria" w:hAnsi="Cambria"/>
          <w:b/>
          <w:bCs/>
          <w:color w:val="141B41"/>
          <w:sz w:val="24"/>
          <w:szCs w:val="24"/>
        </w:rPr>
        <w:t xml:space="preserve">3.1 What counts as a seat</w:t>
      </w:r>
    </w:p>
    <w:p>
      <w:pPr>
        <w:spacing w:after="160" w:line="300"/>
      </w:pPr>
      <w:r>
        <w:rPr>
          <w:rFonts w:ascii="Calibri" w:cs="Calibri" w:eastAsia="Calibri" w:hAnsi="Calibri"/>
          <w:color w:val="262626"/>
          <w:sz w:val="21"/>
          <w:szCs w:val="21"/>
        </w:rPr>
        <w:t xml:space="preserve">Every internal user role counts against the plan’s seat limit except EMPLOYEE. EMPLOYEE logins (staff who only submit internal requests) are free and unlimited. SUPER_ADMIN, CRM_MANAGER, SALES_REP, IT_MANAGER, and IT_AGENT all count.</w:t>
      </w:r>
    </w:p>
    <w:p>
      <w:pPr>
        <w:spacing w:after="160" w:line="300"/>
      </w:pPr>
      <w:r>
        <w:rPr>
          <w:rFonts w:ascii="Calibri" w:cs="Calibri" w:eastAsia="Calibri" w:hAnsi="Calibri"/>
          <w:color w:val="262626"/>
          <w:sz w:val="21"/>
          <w:szCs w:val="21"/>
        </w:rPr>
        <w:t xml:space="preserve">This is implemented in server/src/utils/licensing.ts as an exclusion list (UNMETERED_ROLES = {EMPLOYEE}) rather than an inclusion list, specifically so the policy can be widened or narrowed again in one line if it changes.</w:t>
      </w:r>
    </w:p>
    <w:p>
      <w:pPr>
        <w:pStyle w:val="Heading2"/>
        <w:spacing w:after="120" w:before="300"/>
      </w:pPr>
      <w:r>
        <w:rPr>
          <w:rFonts w:ascii="Cambria" w:cs="Cambria" w:eastAsia="Cambria" w:hAnsi="Cambria"/>
          <w:b/>
          <w:bCs/>
          <w:color w:val="141B41"/>
          <w:sz w:val="24"/>
          <w:szCs w:val="24"/>
        </w:rPr>
        <w:t xml:space="preserve">3.2 Where it’s enforced</w:t>
      </w:r>
    </w:p>
    <w:p>
      <w:pPr>
        <w:pStyle w:val="ListParagraph"/>
        <w:numPr>
          <w:ilvl w:val="0"/>
          <w:numId w:val="2"/>
        </w:numPr>
        <w:spacing w:after="100" w:line="280"/>
      </w:pPr>
      <w:r>
        <w:rPr>
          <w:rFonts w:ascii="Calibri" w:cs="Calibri" w:eastAsia="Calibri" w:hAnsi="Calibri"/>
          <w:color w:val="262626"/>
          <w:sz w:val="21"/>
          <w:szCs w:val="21"/>
        </w:rPr>
        <w:t xml:space="preserve">User creation (usersAdmin.controller.ts – create) — checked before the row is written.</w:t>
      </w:r>
    </w:p>
    <w:p>
      <w:pPr>
        <w:pStyle w:val="ListParagraph"/>
        <w:numPr>
          <w:ilvl w:val="0"/>
          <w:numId w:val="2"/>
        </w:numPr>
        <w:spacing w:after="100" w:line="280"/>
      </w:pPr>
      <w:r>
        <w:rPr>
          <w:rFonts w:ascii="Calibri" w:cs="Calibri" w:eastAsia="Calibri" w:hAnsi="Calibri"/>
          <w:color w:val="262626"/>
          <w:sz w:val="21"/>
          <w:szCs w:val="21"/>
        </w:rPr>
        <w:t xml:space="preserve">Invite sent (usersAdmin.controller.ts – invite) — checked at send time so the admin gets the error immediately, not after the invitee tries to accept.</w:t>
      </w:r>
    </w:p>
    <w:p>
      <w:pPr>
        <w:pStyle w:val="ListParagraph"/>
        <w:numPr>
          <w:ilvl w:val="0"/>
          <w:numId w:val="2"/>
        </w:numPr>
        <w:spacing w:after="100" w:line="280"/>
      </w:pPr>
      <w:r>
        <w:rPr>
          <w:rFonts w:ascii="Calibri" w:cs="Calibri" w:eastAsia="Calibri" w:hAnsi="Calibri"/>
          <w:color w:val="262626"/>
          <w:sz w:val="21"/>
          <w:szCs w:val="21"/>
        </w:rPr>
        <w:t xml:space="preserve">Invite accepted (auth.controller.ts – acceptInvite) — re-checked here too, since seats can fill up in the gap between an invite being sent and accepted.</w:t>
      </w:r>
    </w:p>
    <w:p>
      <w:pPr>
        <w:pStyle w:val="ListParagraph"/>
        <w:numPr>
          <w:ilvl w:val="0"/>
          <w:numId w:val="2"/>
        </w:numPr>
        <w:spacing w:after="100" w:line="280"/>
      </w:pPr>
      <w:r>
        <w:rPr>
          <w:rFonts w:ascii="Calibri" w:cs="Calibri" w:eastAsia="Calibri" w:hAnsi="Calibri"/>
          <w:color w:val="262626"/>
          <w:sz w:val="21"/>
          <w:szCs w:val="21"/>
        </w:rPr>
        <w:t xml:space="preserve">Role change (usersAdmin.controller.ts – update) — only re-checked when the update newly turns someone into a billable role; a lateral move between two already-billable roles, or a demotion, is not re-checked.</w:t>
      </w:r>
    </w:p>
    <w:p>
      <w:pPr>
        <w:spacing w:after="160" w:line="300"/>
      </w:pPr>
      <w:r>
        <w:rPr>
          <w:rFonts w:ascii="Calibri" w:cs="Calibri" w:eastAsia="Calibri" w:hAnsi="Calibri"/>
          <w:color w:val="262626"/>
          <w:sz w:val="21"/>
          <w:szCs w:val="21"/>
        </w:rPr>
        <w:t xml:space="preserve">Every check reads the org’s current active (isActive: true) billable-role user count against Subscription.seats and returns HTTP 402 once at or over the limit.</w:t>
      </w:r>
    </w:p>
    <w:p>
      <w:pPr>
        <w:pStyle w:val="Heading2"/>
        <w:spacing w:after="120" w:before="300"/>
      </w:pPr>
      <w:r>
        <w:rPr>
          <w:rFonts w:ascii="Cambria" w:cs="Cambria" w:eastAsia="Cambria" w:hAnsi="Cambria"/>
          <w:b/>
          <w:bCs/>
          <w:color w:val="141B41"/>
          <w:sz w:val="24"/>
          <w:szCs w:val="24"/>
        </w:rPr>
        <w:t xml:space="preserve">3.3 Downgrade / lapse handling</w:t>
      </w:r>
    </w:p>
    <w:p>
      <w:pPr>
        <w:spacing w:after="160" w:line="300"/>
      </w:pPr>
      <w:r>
        <w:rPr>
          <w:rFonts w:ascii="Calibri" w:cs="Calibri" w:eastAsia="Calibri" w:hAnsi="Calibri"/>
          <w:color w:val="262626"/>
          <w:sz w:val="21"/>
          <w:szCs w:val="21"/>
        </w:rPr>
        <w:t xml:space="preserve">Grandfathering: the seat check only ever blocks the creation of a new billable-role user. Existing users are never touched when a plan downgrades or a subscription lapses — an org that drops from Enterprise to Free with 40 billable users keeps all 40 working; they simply cannot add a 41st until they’re back within a plan’s limit.</w:t>
      </w:r>
    </w:p>
    <w:p>
      <w:pPr>
        <w:pStyle w:val="Heading2"/>
        <w:spacing w:after="120" w:before="300"/>
      </w:pPr>
      <w:r>
        <w:rPr>
          <w:rFonts w:ascii="Cambria" w:cs="Cambria" w:eastAsia="Cambria" w:hAnsi="Cambria"/>
          <w:b/>
          <w:bCs/>
          <w:color w:val="141B41"/>
          <w:sz w:val="24"/>
          <w:szCs w:val="24"/>
        </w:rPr>
        <w:t xml:space="preserve">3.4 Billing page visibility</w:t>
      </w:r>
    </w:p>
    <w:p>
      <w:pPr>
        <w:spacing w:after="160" w:line="300"/>
      </w:pPr>
      <w:r>
        <w:rPr>
          <w:rFonts w:ascii="Calibri" w:cs="Calibri" w:eastAsia="Calibri" w:hAnsi="Calibri"/>
          <w:color w:val="262626"/>
          <w:sz w:val="21"/>
          <w:szCs w:val="21"/>
        </w:rPr>
        <w:t xml:space="preserve">The Billing &amp; Plans page shows a live "X / Y seats used" bar on the current-plan summary card — amber past 80% of the limit, red at or over it — computed by the same getBillableSeatCount() helper the enforcement check itself uses.</w:t>
      </w:r>
    </w:p>
    <w:p>
      <w:pPr>
        <w:pStyle w:val="Heading1"/>
        <w:pBdr>
          <w:bottom w:val="single" w:color="00A88C" w:sz="6" w:space="4"/>
        </w:pBdr>
        <w:spacing w:after="200" w:before="420"/>
      </w:pPr>
      <w:r>
        <w:rPr>
          <w:rFonts w:ascii="Cambria" w:cs="Cambria" w:eastAsia="Cambria" w:hAnsi="Cambria"/>
          <w:b/>
          <w:bCs/>
          <w:color w:val="141B41"/>
          <w:sz w:val="30"/>
          <w:szCs w:val="30"/>
        </w:rPr>
        <w:t xml:space="preserve">4. Feature Gating (Currently Implemented)</w:t>
      </w:r>
    </w:p>
    <w:p>
      <w:pPr>
        <w:spacing w:after="160" w:line="300"/>
      </w:pPr>
      <w:r>
        <w:rPr>
          <w:rFonts w:ascii="Calibri" w:cs="Calibri" w:eastAsia="Calibri" w:hAnsi="Calibri"/>
          <w:color w:val="262626"/>
          <w:sz w:val="21"/>
          <w:szCs w:val="21"/>
        </w:rPr>
        <w:t xml:space="preserve">Plan-based feature access is enforced through a single requireFeature(key) middleware in server/src/utils/licensing.ts, mirroring the same call shape as the existing requireRole() middleware so route tables read consistently. It reads the org’s Subscription.plan and 402s with an upgrade message if that plan’s feature list (PLANS[plan].features in stripe.ts) doesn’t include the requested key. An unrecognized plan value fails safe to "no gated features" rather than throwing.</w:t>
      </w:r>
    </w:p>
    <w:p>
      <w:pPr>
        <w:pStyle w:val="Heading2"/>
        <w:spacing w:after="120" w:before="300"/>
      </w:pPr>
      <w:r>
        <w:rPr>
          <w:rFonts w:ascii="Cambria" w:cs="Cambria" w:eastAsia="Cambria" w:hAnsi="Cambria"/>
          <w:b/>
          <w:bCs/>
          <w:color w:val="141B41"/>
          <w:sz w:val="24"/>
          <w:szCs w:val="24"/>
        </w:rPr>
        <w:t xml:space="preserve">4.1 Feature keys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980"/>
      </w:tblGrid>
      <w:tr>
        <w:tc>
          <w:tcPr>
            <w:tcW w:type="dxa" w:w="2600"/>
            <w:shd w:fill="141B4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Feature key</w:t>
            </w:r>
          </w:p>
        </w:tc>
        <w:tc>
          <w:tcPr>
            <w:tcW w:type="dxa" w:w="1500"/>
            <w:shd w:fill="141B4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Min. plan</w:t>
            </w:r>
          </w:p>
        </w:tc>
        <w:tc>
          <w:tcPr>
            <w:tcW w:type="dxa" w:w="5980"/>
            <w:shd w:fill="141B4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Covers</w:t>
            </w:r>
          </w:p>
        </w:tc>
      </w:tr>
      <w:tr>
        <w:tc>
          <w:tcPr>
            <w:tcW w:type="dxa" w:w="2600"/>
            <w:shd w:fill="EEF1FB" w:val="clear"/>
            <w:tcMar>
              <w:top w:type="dxa" w:w="100"/>
              <w:left w:type="dxa" w:w="120"/>
              <w:bottom w:type="dxa" w:w="100"/>
              <w:right w:type="dxa" w:w="120"/>
            </w:tcMar>
            <w:vAlign w:val="center"/>
          </w:tcPr>
          <w:p>
            <w:r>
              <w:rPr>
                <w:rFonts w:ascii="Calibri" w:cs="Calibri" w:eastAsia="Calibri" w:hAnsi="Calibri"/>
                <w:b/>
                <w:bCs/>
                <w:color w:val="262626"/>
                <w:sz w:val="19"/>
                <w:szCs w:val="19"/>
              </w:rPr>
              <w:t xml:space="preserve">ai_advanced</w:t>
            </w:r>
          </w:p>
        </w:tc>
        <w:tc>
          <w:tcPr>
            <w:tcW w:type="dxa" w:w="1500"/>
            <w:shd w:fill="EEF1FB" w:val="clear"/>
            <w:tcMar>
              <w:top w:type="dxa" w:w="100"/>
              <w:left w:type="dxa" w:w="120"/>
              <w:bottom w:type="dxa" w:w="100"/>
              <w:right w:type="dxa" w:w="120"/>
            </w:tcMar>
            <w:vAlign w:val="center"/>
          </w:tcPr>
          <w:p>
            <w:r>
              <w:rPr>
                <w:rFonts w:ascii="Calibri" w:cs="Calibri" w:eastAsia="Calibri" w:hAnsi="Calibri"/>
                <w:color w:val="262626"/>
                <w:sz w:val="19"/>
                <w:szCs w:val="19"/>
              </w:rPr>
              <w:t xml:space="preserve">Pro</w:t>
            </w:r>
          </w:p>
        </w:tc>
        <w:tc>
          <w:tcPr>
            <w:tcW w:type="dxa" w:w="5980"/>
            <w:shd w:fill="EEF1FB" w:val="clear"/>
            <w:tcMar>
              <w:top w:type="dxa" w:w="100"/>
              <w:left w:type="dxa" w:w="120"/>
              <w:bottom w:type="dxa" w:w="100"/>
              <w:right w:type="dxa" w:w="120"/>
            </w:tcMar>
            <w:vAlign w:val="center"/>
          </w:tcPr>
          <w:p>
            <w:r>
              <w:rPr>
                <w:rFonts w:ascii="Calibri" w:cs="Calibri" w:eastAsia="Calibri" w:hAnsi="Calibri"/>
                <w:color w:val="262626"/>
                <w:sz w:val="19"/>
                <w:szCs w:val="19"/>
              </w:rPr>
              <w:t xml:space="preserve">All AI functionality except the four free ones below: lead follow-up drafting, nurture sequences, deal follow-up/win-probability/close-date, pipeline health, contact churn-risk/health, competitor detection, bulk lead scoring, AI ticket reply suggestions, duplicate detection, KB article generation, ticket summarize/estimate/SLA-risk, dashboard NL query, proactive insights, meeting-notes parser, tone check, the NL command bar + AI Actions, custom AI Rules, and all of AI Studio (custom functions, custom scripts, the Setup Generator).</w:t>
            </w:r>
          </w:p>
        </w:tc>
      </w:tr>
      <w:tr>
        <w:tc>
          <w:tcPr>
            <w:tcW w:type="dxa" w:w="2600"/>
            <w:tcMar>
              <w:top w:type="dxa" w:w="100"/>
              <w:left w:type="dxa" w:w="120"/>
              <w:bottom w:type="dxa" w:w="100"/>
              <w:right w:type="dxa" w:w="120"/>
            </w:tcMar>
            <w:vAlign w:val="center"/>
          </w:tcPr>
          <w:p>
            <w:r>
              <w:rPr>
                <w:rFonts w:ascii="Calibri" w:cs="Calibri" w:eastAsia="Calibri" w:hAnsi="Calibri"/>
                <w:b/>
                <w:bCs/>
                <w:color w:val="262626"/>
                <w:sz w:val="19"/>
                <w:szCs w:val="19"/>
              </w:rPr>
              <w:t xml:space="preserve">workflow_automation</w:t>
            </w:r>
          </w:p>
        </w:tc>
        <w:tc>
          <w:tcPr>
            <w:tcW w:type="dxa" w:w="1500"/>
            <w:tcMar>
              <w:top w:type="dxa" w:w="100"/>
              <w:left w:type="dxa" w:w="120"/>
              <w:bottom w:type="dxa" w:w="100"/>
              <w:right w:type="dxa" w:w="120"/>
            </w:tcMar>
            <w:vAlign w:val="center"/>
          </w:tcPr>
          <w:p>
            <w:r>
              <w:rPr>
                <w:rFonts w:ascii="Calibri" w:cs="Calibri" w:eastAsia="Calibri" w:hAnsi="Calibri"/>
                <w:color w:val="262626"/>
                <w:sz w:val="19"/>
                <w:szCs w:val="19"/>
              </w:rPr>
              <w:t xml:space="preserve">Pro</w:t>
            </w:r>
          </w:p>
        </w:tc>
        <w:tc>
          <w:tcPr>
            <w:tcW w:type="dxa" w:w="5980"/>
            <w:tcMar>
              <w:top w:type="dxa" w:w="100"/>
              <w:left w:type="dxa" w:w="120"/>
              <w:bottom w:type="dxa" w:w="100"/>
              <w:right w:type="dxa" w:w="120"/>
            </w:tcMar>
            <w:vAlign w:val="center"/>
          </w:tcPr>
          <w:p>
            <w:r>
              <w:rPr>
                <w:rFonts w:ascii="Calibri" w:cs="Calibri" w:eastAsia="Calibri" w:hAnsi="Calibri"/>
                <w:color w:val="262626"/>
                <w:sz w:val="19"/>
                <w:szCs w:val="19"/>
              </w:rPr>
              <w:t xml:space="preserve">Creating new WorkflowRule automations. Existing rules on a downgraded org keep running.</w:t>
            </w:r>
          </w:p>
        </w:tc>
      </w:tr>
      <w:tr>
        <w:tc>
          <w:tcPr>
            <w:tcW w:type="dxa" w:w="2600"/>
            <w:shd w:fill="EEF1FB" w:val="clear"/>
            <w:tcMar>
              <w:top w:type="dxa" w:w="100"/>
              <w:left w:type="dxa" w:w="120"/>
              <w:bottom w:type="dxa" w:w="100"/>
              <w:right w:type="dxa" w:w="120"/>
            </w:tcMar>
            <w:vAlign w:val="center"/>
          </w:tcPr>
          <w:p>
            <w:r>
              <w:rPr>
                <w:rFonts w:ascii="Calibri" w:cs="Calibri" w:eastAsia="Calibri" w:hAnsi="Calibri"/>
                <w:b/>
                <w:bCs/>
                <w:color w:val="262626"/>
                <w:sz w:val="19"/>
                <w:szCs w:val="19"/>
              </w:rPr>
              <w:t xml:space="preserve">customer_portal</w:t>
            </w:r>
          </w:p>
        </w:tc>
        <w:tc>
          <w:tcPr>
            <w:tcW w:type="dxa" w:w="1500"/>
            <w:shd w:fill="EEF1FB" w:val="clear"/>
            <w:tcMar>
              <w:top w:type="dxa" w:w="100"/>
              <w:left w:type="dxa" w:w="120"/>
              <w:bottom w:type="dxa" w:w="100"/>
              <w:right w:type="dxa" w:w="120"/>
            </w:tcMar>
            <w:vAlign w:val="center"/>
          </w:tcPr>
          <w:p>
            <w:r>
              <w:rPr>
                <w:rFonts w:ascii="Calibri" w:cs="Calibri" w:eastAsia="Calibri" w:hAnsi="Calibri"/>
                <w:color w:val="262626"/>
                <w:sz w:val="19"/>
                <w:szCs w:val="19"/>
              </w:rPr>
              <w:t xml:space="preserve">Pro</w:t>
            </w:r>
          </w:p>
        </w:tc>
        <w:tc>
          <w:tcPr>
            <w:tcW w:type="dxa" w:w="5980"/>
            <w:shd w:fill="EEF1FB" w:val="clear"/>
            <w:tcMar>
              <w:top w:type="dxa" w:w="100"/>
              <w:left w:type="dxa" w:w="120"/>
              <w:bottom w:type="dxa" w:w="100"/>
              <w:right w:type="dxa" w:w="120"/>
            </w:tcMar>
            <w:vAlign w:val="center"/>
          </w:tcPr>
          <w:p>
            <w:r>
              <w:rPr>
                <w:rFonts w:ascii="Calibri" w:cs="Calibri" w:eastAsia="Calibri" w:hAnsi="Calibri"/>
                <w:color w:val="262626"/>
                <w:sz w:val="19"/>
                <w:szCs w:val="19"/>
              </w:rPr>
              <w:t xml:space="preserve">Provisioning new PortalUser (customer self-service) accounts. Existing portal customers on a downgraded org keep their access.</w:t>
            </w:r>
          </w:p>
        </w:tc>
      </w:tr>
      <w:tr>
        <w:tc>
          <w:tcPr>
            <w:tcW w:type="dxa" w:w="2600"/>
            <w:tcMar>
              <w:top w:type="dxa" w:w="100"/>
              <w:left w:type="dxa" w:w="120"/>
              <w:bottom w:type="dxa" w:w="100"/>
              <w:right w:type="dxa" w:w="120"/>
            </w:tcMar>
            <w:vAlign w:val="center"/>
          </w:tcPr>
          <w:p>
            <w:r>
              <w:rPr>
                <w:rFonts w:ascii="Calibri" w:cs="Calibri" w:eastAsia="Calibri" w:hAnsi="Calibri"/>
                <w:b/>
                <w:bCs/>
                <w:color w:val="262626"/>
                <w:sz w:val="19"/>
                <w:szCs w:val="19"/>
              </w:rPr>
              <w:t xml:space="preserve">advanced_analytics</w:t>
            </w:r>
          </w:p>
        </w:tc>
        <w:tc>
          <w:tcPr>
            <w:tcW w:type="dxa" w:w="1500"/>
            <w:tcMar>
              <w:top w:type="dxa" w:w="100"/>
              <w:left w:type="dxa" w:w="120"/>
              <w:bottom w:type="dxa" w:w="100"/>
              <w:right w:type="dxa" w:w="120"/>
            </w:tcMar>
            <w:vAlign w:val="center"/>
          </w:tcPr>
          <w:p>
            <w:r>
              <w:rPr>
                <w:rFonts w:ascii="Calibri" w:cs="Calibri" w:eastAsia="Calibri" w:hAnsi="Calibri"/>
                <w:color w:val="262626"/>
                <w:sz w:val="19"/>
                <w:szCs w:val="19"/>
              </w:rPr>
              <w:t xml:space="preserve">Pro</w:t>
            </w:r>
          </w:p>
        </w:tc>
        <w:tc>
          <w:tcPr>
            <w:tcW w:type="dxa" w:w="5980"/>
            <w:tcMar>
              <w:top w:type="dxa" w:w="100"/>
              <w:left w:type="dxa" w:w="120"/>
              <w:bottom w:type="dxa" w:w="100"/>
              <w:right w:type="dxa" w:w="120"/>
            </w:tcMar>
            <w:vAlign w:val="center"/>
          </w:tcPr>
          <w:p>
            <w:r>
              <w:rPr>
                <w:rFonts w:ascii="Calibri" w:cs="Calibri" w:eastAsia="Calibri" w:hAnsi="Calibri"/>
                <w:color w:val="262626"/>
                <w:sz w:val="19"/>
                <w:szCs w:val="19"/>
              </w:rPr>
              <w:t xml:space="preserve">The analytics overview/ticket/CRM endpoints and the ticket/CRM reports endpoints — read access itself is the gated capability, since there’s nothing to "create."</w:t>
            </w:r>
          </w:p>
        </w:tc>
      </w:tr>
      <w:tr>
        <w:tc>
          <w:tcPr>
            <w:tcW w:type="dxa" w:w="2600"/>
            <w:shd w:fill="EEF1FB" w:val="clear"/>
            <w:tcMar>
              <w:top w:type="dxa" w:w="100"/>
              <w:left w:type="dxa" w:w="120"/>
              <w:bottom w:type="dxa" w:w="100"/>
              <w:right w:type="dxa" w:w="120"/>
            </w:tcMar>
            <w:vAlign w:val="center"/>
          </w:tcPr>
          <w:p>
            <w:r>
              <w:rPr>
                <w:rFonts w:ascii="Calibri" w:cs="Calibri" w:eastAsia="Calibri" w:hAnsi="Calibri"/>
                <w:b/>
                <w:bCs/>
                <w:color w:val="262626"/>
                <w:sz w:val="19"/>
                <w:szCs w:val="19"/>
              </w:rPr>
              <w:t xml:space="preserve">custom_branding</w:t>
            </w:r>
          </w:p>
        </w:tc>
        <w:tc>
          <w:tcPr>
            <w:tcW w:type="dxa" w:w="1500"/>
            <w:shd w:fill="EEF1FB" w:val="clear"/>
            <w:tcMar>
              <w:top w:type="dxa" w:w="100"/>
              <w:left w:type="dxa" w:w="120"/>
              <w:bottom w:type="dxa" w:w="100"/>
              <w:right w:type="dxa" w:w="120"/>
            </w:tcMar>
            <w:vAlign w:val="center"/>
          </w:tcPr>
          <w:p>
            <w:r>
              <w:rPr>
                <w:rFonts w:ascii="Calibri" w:cs="Calibri" w:eastAsia="Calibri" w:hAnsi="Calibri"/>
                <w:color w:val="262626"/>
                <w:sz w:val="19"/>
                <w:szCs w:val="19"/>
              </w:rPr>
              <w:t xml:space="preserve">Enterprise</w:t>
            </w:r>
          </w:p>
        </w:tc>
        <w:tc>
          <w:tcPr>
            <w:tcW w:type="dxa" w:w="5980"/>
            <w:shd w:fill="EEF1FB" w:val="clear"/>
            <w:tcMar>
              <w:top w:type="dxa" w:w="100"/>
              <w:left w:type="dxa" w:w="120"/>
              <w:bottom w:type="dxa" w:w="100"/>
              <w:right w:type="dxa" w:w="120"/>
            </w:tcMar>
            <w:vAlign w:val="center"/>
          </w:tcPr>
          <w:p>
            <w:r>
              <w:rPr>
                <w:rFonts w:ascii="Calibri" w:cs="Calibri" w:eastAsia="Calibri" w:hAnsi="Calibri"/>
                <w:color w:val="262626"/>
                <w:sz w:val="19"/>
                <w:szCs w:val="19"/>
              </w:rPr>
              <w:t xml:space="preserve">Setting a custom logo/colors for the customer portal. Reading/displaying branding already set — including the public portal-facing endpoint — is never gated.</w:t>
            </w:r>
          </w:p>
        </w:tc>
      </w:tr>
    </w:tbl>
    <w:p>
      <w:pPr>
        <w:pStyle w:val="Heading2"/>
        <w:spacing w:after="120" w:before="300"/>
      </w:pPr>
      <w:r>
        <w:rPr>
          <w:rFonts w:ascii="Cambria" w:cs="Cambria" w:eastAsia="Cambria" w:hAnsi="Cambria"/>
          <w:b/>
          <w:bCs/>
          <w:color w:val="141B41"/>
          <w:sz w:val="24"/>
          <w:szCs w:val="24"/>
        </w:rPr>
        <w:t xml:space="preserve">4.2 Free AI features (never gated)</w:t>
      </w:r>
    </w:p>
    <w:p>
      <w:pPr>
        <w:spacing w:after="160" w:line="300"/>
      </w:pPr>
      <w:r>
        <w:rPr>
          <w:rFonts w:ascii="Calibri" w:cs="Calibri" w:eastAsia="Calibri" w:hAnsi="Calibri"/>
          <w:color w:val="262626"/>
          <w:sz w:val="21"/>
          <w:szCs w:val="21"/>
        </w:rPr>
        <w:t xml:space="preserve">Four AI capabilities remain free on every plan, with no feature check at all: lead scoring, ticket sentiment analysis, ticket auto-routing, and ticket auto-tagging.</w:t>
      </w:r>
    </w:p>
    <w:p>
      <w:pPr>
        <w:pStyle w:val="Heading2"/>
        <w:spacing w:after="120" w:before="300"/>
      </w:pPr>
      <w:r>
        <w:rPr>
          <w:rFonts w:ascii="Cambria" w:cs="Cambria" w:eastAsia="Cambria" w:hAnsi="Cambria"/>
          <w:b/>
          <w:bCs/>
          <w:color w:val="141B41"/>
          <w:sz w:val="24"/>
          <w:szCs w:val="24"/>
        </w:rPr>
        <w:t xml:space="preserve">4.3 Grandfathering pattern</w:t>
      </w:r>
    </w:p>
    <w:p>
      <w:pPr>
        <w:spacing w:after="160" w:line="300"/>
      </w:pPr>
      <w:r>
        <w:rPr>
          <w:rFonts w:ascii="Calibri" w:cs="Calibri" w:eastAsia="Calibri" w:hAnsi="Calibri"/>
          <w:color w:val="262626"/>
          <w:sz w:val="21"/>
          <w:szCs w:val="21"/>
        </w:rPr>
        <w:t xml:space="preserve">Consistent with the seat-limit policy in Section 3.3: everywhere a resource can be "created" (a workflow rule, a portal account, custom branding, an AI rule/function/script), only the create/update action is gated — list and read endpoints stay open so existing configuration from a since-downgraded org keeps working and displaying correctly. Only for advanced_analytics, where read access is itself the entire feature (there is no separate "create" step), are the read endpoints gated directly.</w:t>
      </w:r>
    </w:p>
    <w:p>
      <w:pPr>
        <w:pStyle w:val="Heading2"/>
        <w:spacing w:after="120" w:before="300"/>
      </w:pPr>
      <w:r>
        <w:rPr>
          <w:rFonts w:ascii="Cambria" w:cs="Cambria" w:eastAsia="Cambria" w:hAnsi="Cambria"/>
          <w:b/>
          <w:bCs/>
          <w:color w:val="141B41"/>
          <w:sz w:val="24"/>
          <w:szCs w:val="24"/>
        </w:rPr>
        <w:t xml:space="preserve">4.4 Precedence with role checks</w:t>
      </w:r>
    </w:p>
    <w:p>
      <w:pPr>
        <w:spacing w:after="160" w:line="300"/>
      </w:pPr>
      <w:r>
        <w:rPr>
          <w:rFonts w:ascii="Calibri" w:cs="Calibri" w:eastAsia="Calibri" w:hAnsi="Calibri"/>
          <w:color w:val="262626"/>
          <w:sz w:val="21"/>
          <w:szCs w:val="21"/>
        </w:rPr>
        <w:t xml:space="preserve">On every gated route, requireRole() runs before requireFeature() in the middleware chain, so a user with the wrong role gets a 403 rather than a 402 — role eligibility is checked first, plan eligibility second.</w:t>
      </w:r>
    </w:p>
    <w:p>
      <w:pPr>
        <w:pStyle w:val="Heading1"/>
        <w:pBdr>
          <w:bottom w:val="single" w:color="00A88C" w:sz="6" w:space="4"/>
        </w:pBdr>
        <w:spacing w:after="200" w:before="420"/>
      </w:pPr>
      <w:r>
        <w:rPr>
          <w:rFonts w:ascii="Cambria" w:cs="Cambria" w:eastAsia="Cambria" w:hAnsi="Cambria"/>
          <w:b/>
          <w:bCs/>
          <w:color w:val="141B41"/>
          <w:sz w:val="30"/>
          <w:szCs w:val="30"/>
        </w:rPr>
        <w:t xml:space="preserve">5. Billing Infrastructure (Stripe)</w:t>
      </w:r>
    </w:p>
    <w:p>
      <w:pPr>
        <w:spacing w:after="160" w:line="300"/>
      </w:pPr>
      <w:r>
        <w:rPr>
          <w:rFonts w:ascii="Calibri" w:cs="Calibri" w:eastAsia="Calibri" w:hAnsi="Calibri"/>
          <w:color w:val="262626"/>
          <w:sz w:val="21"/>
          <w:szCs w:val="21"/>
        </w:rPr>
        <w:t xml:space="preserve">Fully built and independent of the licensing changes above:</w:t>
      </w:r>
    </w:p>
    <w:p>
      <w:pPr>
        <w:pStyle w:val="ListParagraph"/>
        <w:numPr>
          <w:ilvl w:val="0"/>
          <w:numId w:val="2"/>
        </w:numPr>
        <w:spacing w:after="100" w:line="280"/>
      </w:pPr>
      <w:r>
        <w:rPr>
          <w:rFonts w:ascii="Calibri" w:cs="Calibri" w:eastAsia="Calibri" w:hAnsi="Calibri"/>
          <w:color w:val="262626"/>
          <w:sz w:val="21"/>
          <w:szCs w:val="21"/>
        </w:rPr>
        <w:t xml:space="preserve">Checkout: POST /api/billing/checkout creates a Stripe Checkout session for a Pro/Enterprise upgrade, creating a Stripe customer on first use.</w:t>
      </w:r>
    </w:p>
    <w:p>
      <w:pPr>
        <w:pStyle w:val="ListParagraph"/>
        <w:numPr>
          <w:ilvl w:val="0"/>
          <w:numId w:val="2"/>
        </w:numPr>
        <w:spacing w:after="100" w:line="280"/>
      </w:pPr>
      <w:r>
        <w:rPr>
          <w:rFonts w:ascii="Calibri" w:cs="Calibri" w:eastAsia="Calibri" w:hAnsi="Calibri"/>
          <w:color w:val="262626"/>
          <w:sz w:val="21"/>
          <w:szCs w:val="21"/>
        </w:rPr>
        <w:t xml:space="preserve">Billing Portal: POST /api/billing/portal hands the org off to Stripe’s hosted portal for plan changes, payment method updates, and cancellation.</w:t>
      </w:r>
    </w:p>
    <w:p>
      <w:pPr>
        <w:pStyle w:val="ListParagraph"/>
        <w:numPr>
          <w:ilvl w:val="0"/>
          <w:numId w:val="2"/>
        </w:numPr>
        <w:spacing w:after="100" w:line="280"/>
      </w:pPr>
      <w:r>
        <w:rPr>
          <w:rFonts w:ascii="Calibri" w:cs="Calibri" w:eastAsia="Calibri" w:hAnsi="Calibri"/>
          <w:color w:val="262626"/>
          <w:sz w:val="21"/>
          <w:szCs w:val="21"/>
        </w:rPr>
        <w:t xml:space="preserve">Webhooks: POST /api/billing/webhook handles checkout.session.completed, customer.subscription.updated, and customer.subscription.deleted, keeping the local Subscription row (plan, seats, status, currentPeriodEnd) in sync with Stripe. Signature verification includes replay-attack protection (rejects events older than 5 minutes).</w:t>
      </w:r>
    </w:p>
    <w:p>
      <w:pPr>
        <w:pStyle w:val="ListParagraph"/>
        <w:numPr>
          <w:ilvl w:val="0"/>
          <w:numId w:val="2"/>
        </w:numPr>
        <w:spacing w:after="100" w:line="280"/>
      </w:pPr>
      <w:r>
        <w:rPr>
          <w:rFonts w:ascii="Calibri" w:cs="Calibri" w:eastAsia="Calibri" w:hAnsi="Calibri"/>
          <w:color w:val="262626"/>
          <w:sz w:val="21"/>
          <w:szCs w:val="21"/>
        </w:rPr>
        <w:t xml:space="preserve">Config: PLANS in server/src/utils/stripe.ts maps each plan to its seat count, list price, Stripe Price ID, and now its feature list (Section 4.1).</w:t>
      </w:r>
    </w:p>
    <w:p>
      <w:pPr>
        <w:pStyle w:val="Heading1"/>
        <w:pBdr>
          <w:bottom w:val="single" w:color="00A88C" w:sz="6" w:space="4"/>
        </w:pBdr>
        <w:spacing w:after="200" w:before="420"/>
      </w:pPr>
      <w:r>
        <w:rPr>
          <w:rFonts w:ascii="Cambria" w:cs="Cambria" w:eastAsia="Cambria" w:hAnsi="Cambria"/>
          <w:b/>
          <w:bCs/>
          <w:color w:val="141B41"/>
          <w:sz w:val="30"/>
          <w:szCs w:val="30"/>
        </w:rPr>
        <w:t xml:space="preserve">6. Usage Tracking (Currently Implemented, Not Yet Billed)</w:t>
      </w:r>
    </w:p>
    <w:p>
      <w:pPr>
        <w:spacing w:after="160" w:line="300"/>
      </w:pPr>
      <w:r>
        <w:rPr>
          <w:rFonts w:ascii="Calibri" w:cs="Calibri" w:eastAsia="Calibri" w:hAnsi="Calibri"/>
          <w:color w:val="262626"/>
          <w:sz w:val="21"/>
          <w:szCs w:val="21"/>
        </w:rPr>
        <w:t xml:space="preserve">Built specifically to collect real usage data before any usage-based pricing decision is made — no plan or billing logic reads these numbers yet.</w:t>
      </w:r>
    </w:p>
    <w:p>
      <w:pPr>
        <w:pStyle w:val="Heading2"/>
        <w:spacing w:after="120" w:before="300"/>
      </w:pPr>
      <w:r>
        <w:rPr>
          <w:rFonts w:ascii="Cambria" w:cs="Cambria" w:eastAsia="Cambria" w:hAnsi="Cambria"/>
          <w:b/>
          <w:bCs/>
          <w:color w:val="141B41"/>
          <w:sz w:val="24"/>
          <w:szCs w:val="24"/>
        </w:rPr>
        <w:t xml:space="preserve">6.1 What’s tracked</w:t>
      </w:r>
    </w:p>
    <w:p>
      <w:pPr>
        <w:pStyle w:val="ListParagraph"/>
        <w:numPr>
          <w:ilvl w:val="0"/>
          <w:numId w:val="2"/>
        </w:numPr>
        <w:spacing w:after="100" w:line="280"/>
      </w:pPr>
      <w:r>
        <w:rPr>
          <w:rFonts w:ascii="Calibri" w:cs="Calibri" w:eastAsia="Calibri" w:hAnsi="Calibri"/>
          <w:color w:val="262626"/>
          <w:sz w:val="21"/>
          <w:szCs w:val="21"/>
        </w:rPr>
        <w:t xml:space="preserve">AI_CALL — logged via a trackAiCall middleware applied only to the ai.routes.ts endpoints that actually reach Groq/OpenAI, including the four free ones (they still cost an API call even though they aren’t feature-gated).</w:t>
      </w:r>
    </w:p>
    <w:p>
      <w:pPr>
        <w:pStyle w:val="ListParagraph"/>
        <w:numPr>
          <w:ilvl w:val="0"/>
          <w:numId w:val="2"/>
        </w:numPr>
        <w:spacing w:after="100" w:line="280"/>
      </w:pPr>
      <w:r>
        <w:rPr>
          <w:rFonts w:ascii="Calibri" w:cs="Calibri" w:eastAsia="Calibri" w:hAnsi="Calibri"/>
          <w:color w:val="262626"/>
          <w:sz w:val="21"/>
          <w:szCs w:val="21"/>
        </w:rPr>
        <w:t xml:space="preserve">WHATSAPP_SEND — logged at both real outbound send paths: the shared sendWhatsApp() helper (used by the Schedule poller and the workflow engine’s SEND_WHATSAPP action) and the Inbox module’s own Twilio call for manual replies.</w:t>
      </w:r>
    </w:p>
    <w:p>
      <w:pPr>
        <w:pStyle w:val="Heading2"/>
        <w:spacing w:after="120" w:before="300"/>
      </w:pPr>
      <w:r>
        <w:rPr>
          <w:rFonts w:ascii="Cambria" w:cs="Cambria" w:eastAsia="Cambria" w:hAnsi="Cambria"/>
          <w:b/>
          <w:bCs/>
          <w:color w:val="141B41"/>
          <w:sz w:val="24"/>
          <w:szCs w:val="24"/>
        </w:rPr>
        <w:t xml:space="preserve">6.2 Storage model</w:t>
      </w:r>
    </w:p>
    <w:p>
      <w:pPr>
        <w:spacing w:after="160" w:line="300"/>
      </w:pPr>
      <w:r>
        <w:rPr>
          <w:rFonts w:ascii="Calibri" w:cs="Calibri" w:eastAsia="Calibri" w:hAnsi="Calibri"/>
          <w:color w:val="262626"/>
          <w:sz w:val="21"/>
          <w:szCs w:val="21"/>
        </w:rPr>
        <w:t xml:space="preserve">A new UsageEvent table (one row per event: orgId, type, timestamp) rather than a rolling counter, so usage can be sliced by day or type once there’s enough history to set sensible limits. Recording is fire-and-forget — exactly like the existing sendMail() pattern — so a usage-logging failure never blocks or fails the real request.</w:t>
      </w:r>
    </w:p>
    <w:p>
      <w:pPr>
        <w:pStyle w:val="Heading2"/>
        <w:spacing w:after="120" w:before="300"/>
      </w:pPr>
      <w:r>
        <w:rPr>
          <w:rFonts w:ascii="Cambria" w:cs="Cambria" w:eastAsia="Cambria" w:hAnsi="Cambria"/>
          <w:b/>
          <w:bCs/>
          <w:color w:val="141B41"/>
          <w:sz w:val="24"/>
          <w:szCs w:val="24"/>
        </w:rPr>
        <w:t xml:space="preserve">6.3 Where it’s visible</w:t>
      </w:r>
    </w:p>
    <w:p>
      <w:pPr>
        <w:spacing w:after="160" w:line="300"/>
      </w:pPr>
      <w:r>
        <w:rPr>
          <w:rFonts w:ascii="Calibri" w:cs="Calibri" w:eastAsia="Calibri" w:hAnsi="Calibri"/>
          <w:color w:val="262626"/>
          <w:sz w:val="21"/>
          <w:szCs w:val="21"/>
        </w:rPr>
        <w:t xml:space="preserve">The Billing page’s "Usage this month" card shows AI calls and WhatsApp sends for the org’s current calendar-month period, explicitly labeled as informational only.</w:t>
      </w:r>
    </w:p>
    <w:p>
      <w:pPr>
        <w:pStyle w:val="Heading1"/>
        <w:pBdr>
          <w:bottom w:val="single" w:color="00A88C" w:sz="6" w:space="4"/>
        </w:pBdr>
        <w:spacing w:after="200" w:before="420"/>
      </w:pPr>
      <w:r>
        <w:rPr>
          <w:rFonts w:ascii="Cambria" w:cs="Cambria" w:eastAsia="Cambria" w:hAnsi="Cambria"/>
          <w:b/>
          <w:bCs/>
          <w:color w:val="141B41"/>
          <w:sz w:val="30"/>
          <w:szCs w:val="30"/>
        </w:rPr>
        <w:t xml:space="preserve">7. Attachments &amp; Hosted Storage (Currently Implemented)</w:t>
      </w:r>
    </w:p>
    <w:p>
      <w:pPr>
        <w:spacing w:after="160" w:line="300"/>
      </w:pPr>
      <w:r>
        <w:rPr>
          <w:rFonts w:ascii="Calibri" w:cs="Calibri" w:eastAsia="Calibri" w:hAnsi="Calibri"/>
          <w:color w:val="262626"/>
          <w:sz w:val="21"/>
          <w:szCs w:val="21"/>
        </w:rPr>
        <w:t xml:space="preserve">File attachments (upload/list/download/delete) are supported on Deals, Tickets, Contacts, Leads, Change Requests, Quotes, Assets, and Campaigns — Accounts is pending a dedicated detail view to host it. Every download is proxied through our own backend rather than redirecting to a storage-provider link, so access is always governed by our own org/entity checks (utils/entityAccess.ts), regardless of which backend a file happens to live in.</w:t>
      </w:r>
    </w:p>
    <w:p>
      <w:pPr>
        <w:pStyle w:val="Heading2"/>
        <w:spacing w:after="120" w:before="300"/>
      </w:pPr>
      <w:r>
        <w:rPr>
          <w:rFonts w:ascii="Cambria" w:cs="Cambria" w:eastAsia="Cambria" w:hAnsi="Cambria"/>
          <w:b/>
          <w:bCs/>
          <w:color w:val="141B41"/>
          <w:sz w:val="24"/>
          <w:szCs w:val="24"/>
        </w:rPr>
        <w:t xml:space="preserve">7.1 Bring your own Google Drive (all plans, free)</w:t>
      </w:r>
    </w:p>
    <w:p>
      <w:pPr>
        <w:spacing w:after="160" w:line="300"/>
      </w:pPr>
      <w:r>
        <w:rPr>
          <w:rFonts w:ascii="Calibri" w:cs="Calibri" w:eastAsia="Calibri" w:hAnsi="Calibri"/>
          <w:color w:val="262626"/>
          <w:sz w:val="21"/>
          <w:szCs w:val="21"/>
        </w:rPr>
        <w:t xml:space="preserve">The default option on every plan. An org owner connects their organization’s Google account via OAuth2 (utils/googleDrive.ts) with the minimal drive.file + userinfo.email scopes — enough to create and manage only the files this app itself uploads, avoiding Google’s costly “restricted scope” review tier. Files land in a dedicated “CRMITdesk Evolved Attachments” folder in the connected account. This is the customer’s own storage, so there is no quota or cost on our side at any plan level.</w:t>
      </w:r>
    </w:p>
    <w:p>
      <w:pPr>
        <w:pStyle w:val="Heading2"/>
        <w:spacing w:after="120" w:before="300"/>
      </w:pPr>
      <w:r>
        <w:rPr>
          <w:rFonts w:ascii="Cambria" w:cs="Cambria" w:eastAsia="Cambria" w:hAnsi="Cambria"/>
          <w:b/>
          <w:bCs/>
          <w:color w:val="141B41"/>
          <w:sz w:val="24"/>
          <w:szCs w:val="24"/>
        </w:rPr>
        <w:t xml:space="preserve">7.2 Hosted storage (Pro &amp; Enterprise only)</w:t>
      </w:r>
    </w:p>
    <w:p>
      <w:pPr>
        <w:spacing w:after="160" w:line="300"/>
      </w:pPr>
      <w:r>
        <w:rPr>
          <w:rFonts w:ascii="Calibri" w:cs="Calibri" w:eastAsia="Calibri" w:hAnsi="Calibri"/>
          <w:color w:val="262626"/>
          <w:sz w:val="21"/>
          <w:szCs w:val="21"/>
        </w:rPr>
        <w:t xml:space="preserve">The alternative for orgs that would rather not connect a Google account: we store the files ourselves, in an S3-compatible bucket (utils/s3Storage.ts), keyed by org ID. Gated by plan via PLANS.storageQuotaGB in utils/stripe.ts:</w:t>
      </w:r>
    </w:p>
    <w:p>
      <w:pPr>
        <w:pStyle w:val="ListParagraph"/>
        <w:numPr>
          <w:ilvl w:val="0"/>
          <w:numId w:val="2"/>
        </w:numPr>
        <w:spacing w:after="100" w:line="280"/>
      </w:pPr>
      <w:r>
        <w:rPr>
          <w:rFonts w:ascii="Calibri" w:cs="Calibri" w:eastAsia="Calibri" w:hAnsi="Calibri"/>
          <w:color w:val="262626"/>
          <w:sz w:val="21"/>
          <w:szCs w:val="21"/>
        </w:rPr>
        <w:t xml:space="preserve">Free — 0GB. Not available; must use bring-your-own Google Drive instead.</w:t>
      </w:r>
    </w:p>
    <w:p>
      <w:pPr>
        <w:pStyle w:val="ListParagraph"/>
        <w:numPr>
          <w:ilvl w:val="0"/>
          <w:numId w:val="2"/>
        </w:numPr>
        <w:spacing w:after="100" w:line="280"/>
      </w:pPr>
      <w:r>
        <w:rPr>
          <w:rFonts w:ascii="Calibri" w:cs="Calibri" w:eastAsia="Calibri" w:hAnsi="Calibri"/>
          <w:color w:val="262626"/>
          <w:sz w:val="21"/>
          <w:szCs w:val="21"/>
        </w:rPr>
        <w:t xml:space="preserve">Pro — 5GB.</w:t>
      </w:r>
    </w:p>
    <w:p>
      <w:pPr>
        <w:pStyle w:val="ListParagraph"/>
        <w:numPr>
          <w:ilvl w:val="0"/>
          <w:numId w:val="2"/>
        </w:numPr>
        <w:spacing w:after="100" w:line="280"/>
      </w:pPr>
      <w:r>
        <w:rPr>
          <w:rFonts w:ascii="Calibri" w:cs="Calibri" w:eastAsia="Calibri" w:hAnsi="Calibri"/>
          <w:color w:val="262626"/>
          <w:sz w:val="21"/>
          <w:szCs w:val="21"/>
        </w:rPr>
        <w:t xml:space="preserve">Enterprise — 50GB.</w:t>
      </w:r>
    </w:p>
    <w:p>
      <w:pPr>
        <w:spacing w:after="160" w:line="300"/>
      </w:pPr>
      <w:r>
        <w:rPr>
          <w:rFonts w:ascii="Calibri" w:cs="Calibri" w:eastAsia="Calibri" w:hAnsi="Calibri"/>
          <w:color w:val="262626"/>
          <w:sz w:val="21"/>
          <w:szCs w:val="21"/>
        </w:rPr>
        <w:t xml:space="preserve">Enforced in utils/licensing.ts (assertHostedStorageAvailable), called from the upload path in utils/storage.ts. Usage is computed live as SUM(fileSize) across the org’s HOSTED_S3 attachments rather than a running counter, so it can never drift out of sync with what is actually stored — a delete is reflected immediately. An upload that would push the org over quota is rejected with HTTP 402 before anything is written; existing files are never touched by a plan downgrade, consistent with the grandfathering pattern in Sections 3.3 and 4.3.</w:t>
      </w:r>
    </w:p>
    <w:p>
      <w:pPr>
        <w:pStyle w:val="Heading2"/>
        <w:spacing w:after="120" w:before="300"/>
      </w:pPr>
      <w:r>
        <w:rPr>
          <w:rFonts w:ascii="Cambria" w:cs="Cambria" w:eastAsia="Cambria" w:hAnsi="Cambria"/>
          <w:b/>
          <w:bCs/>
          <w:color w:val="141B41"/>
          <w:sz w:val="24"/>
          <w:szCs w:val="24"/>
        </w:rPr>
        <w:t xml:space="preserve">7.3 Switching providers</w:t>
      </w:r>
    </w:p>
    <w:p>
      <w:pPr>
        <w:spacing w:after="160" w:line="300"/>
      </w:pPr>
      <w:r>
        <w:rPr>
          <w:rFonts w:ascii="Calibri" w:cs="Calibri" w:eastAsia="Calibri" w:hAnsi="Calibri"/>
          <w:color w:val="262626"/>
          <w:sz w:val="21"/>
          <w:szCs w:val="21"/>
        </w:rPr>
        <w:t xml:space="preserve">An org can switch between Google Drive and hosted storage at any time from Settings → Storage — no need to disconnect first. Switching only changes where NEW uploads go; files already stored under the previous provider stay exactly where they are and remain individually downloadable and deletable through the same Attachments panel, since Attachment.provider is recorded per file, not per org.</w:t>
      </w:r>
    </w:p>
    <w:p>
      <w:pPr>
        <w:pStyle w:val="Heading1"/>
        <w:pBdr>
          <w:bottom w:val="single" w:color="00A88C" w:sz="6" w:space="4"/>
        </w:pBdr>
        <w:spacing w:after="200" w:before="420"/>
      </w:pPr>
      <w:r>
        <w:rPr>
          <w:rFonts w:ascii="Cambria" w:cs="Cambria" w:eastAsia="Cambria" w:hAnsi="Cambria"/>
          <w:b/>
          <w:bCs/>
          <w:color w:val="141B41"/>
          <w:sz w:val="30"/>
          <w:szCs w:val="30"/>
        </w:rPr>
        <w:t xml:space="preserve">8. Roadmap — Not Yet Implemented</w:t>
      </w:r>
    </w:p>
    <w:p>
      <w:pPr>
        <w:spacing w:after="160" w:line="300"/>
      </w:pPr>
      <w:r>
        <w:rPr>
          <w:rFonts w:ascii="Calibri" w:cs="Calibri" w:eastAsia="Calibri" w:hAnsi="Calibri"/>
          <w:color w:val="262626"/>
          <w:sz w:val="21"/>
          <w:szCs w:val="21"/>
        </w:rPr>
        <w:t xml:space="preserve">Three items remain from the pricing-strategy discussion (feature gating, Section 4, is now built). Each needs a specific business decision before it can be built correctly — none of the numbers below are decided, only proposed as a starting point.</w:t>
      </w:r>
    </w:p>
    <w:p>
      <w:pPr>
        <w:pStyle w:val="Heading2"/>
        <w:spacing w:after="120" w:before="300"/>
      </w:pPr>
      <w:r>
        <w:rPr>
          <w:rFonts w:ascii="Cambria" w:cs="Cambria" w:eastAsia="Cambria" w:hAnsi="Cambria"/>
          <w:b/>
          <w:bCs/>
          <w:color w:val="141B41"/>
          <w:sz w:val="24"/>
          <w:szCs w:val="24"/>
        </w:rPr>
        <w:t xml:space="preserve">8.1 Annual billing discount</w:t>
      </w:r>
    </w:p>
    <w:p>
      <w:pPr>
        <w:spacing w:after="100"/>
      </w:pPr>
      <w:r>
        <w:rPr>
          <w:rFonts w:ascii="Calibri" w:cs="Calibri" w:eastAsia="Calibri" w:hAnsi="Calibri"/>
          <w:b/>
          <w:bCs/>
          <w:color w:val="FFFFFF"/>
          <w:sz w:val="18"/>
          <w:szCs w:val="18"/>
          <w:shd w:fill="B3261E" w:val="clear"/>
        </w:rPr>
        <w:t xml:space="preserve"> NOT BUILT </w:t>
      </w:r>
    </w:p>
    <w:p>
      <w:pPr>
        <w:spacing w:after="160" w:line="300"/>
      </w:pPr>
      <w:r>
        <w:rPr>
          <w:rFonts w:ascii="Calibri" w:cs="Calibri" w:eastAsia="Calibri" w:hAnsi="Calibri"/>
          <w:color w:val="262626"/>
          <w:sz w:val="21"/>
          <w:szCs w:val="21"/>
        </w:rPr>
        <w:t xml:space="preserve">PLANS currently holds one Stripe Price ID per plan (monthly only); there is no billing-interval concept anywhere in the checkout flow.</w:t>
      </w:r>
    </w:p>
    <w:p>
      <w:pPr>
        <w:spacing w:after="160" w:line="300"/>
      </w:pPr>
      <w:r>
        <w:rPr>
          <w:rFonts w:ascii="Calibri" w:cs="Calibri" w:eastAsia="Calibri" w:hAnsi="Calibri"/>
          <w:color w:val="262626"/>
          <w:sz w:val="21"/>
          <w:szCs w:val="21"/>
        </w:rPr>
        <w:t xml:space="preserve">Needed: annual Stripe Price objects created in the Stripe dashboard (a manual step, similar to the earlier Resend domain verification), a monthly/annual toggle on the Billing page, and createCheckout accepting an interval parameter. Also needs a decision on the discount percentage (a common default is 15–20% off the annualized monthly price).</w:t>
      </w:r>
    </w:p>
    <w:p>
      <w:pPr>
        <w:pStyle w:val="Heading2"/>
        <w:spacing w:after="120" w:before="300"/>
      </w:pPr>
      <w:r>
        <w:rPr>
          <w:rFonts w:ascii="Cambria" w:cs="Cambria" w:eastAsia="Cambria" w:hAnsi="Cambria"/>
          <w:b/>
          <w:bCs/>
          <w:color w:val="141B41"/>
          <w:sz w:val="24"/>
          <w:szCs w:val="24"/>
        </w:rPr>
        <w:t xml:space="preserve">8.2 Custom licensing tier</w:t>
      </w:r>
    </w:p>
    <w:p>
      <w:pPr>
        <w:spacing w:after="100"/>
      </w:pPr>
      <w:r>
        <w:rPr>
          <w:rFonts w:ascii="Calibri" w:cs="Calibri" w:eastAsia="Calibri" w:hAnsi="Calibri"/>
          <w:b/>
          <w:bCs/>
          <w:color w:val="FFFFFF"/>
          <w:sz w:val="18"/>
          <w:szCs w:val="18"/>
          <w:shd w:fill="B3261E" w:val="clear"/>
        </w:rPr>
        <w:t xml:space="preserve"> NOT BUILT </w:t>
      </w:r>
    </w:p>
    <w:p>
      <w:pPr>
        <w:spacing w:after="160" w:line="300"/>
      </w:pPr>
      <w:r>
        <w:rPr>
          <w:rFonts w:ascii="Calibri" w:cs="Calibri" w:eastAsia="Calibri" w:hAnsi="Calibri"/>
          <w:color w:val="262626"/>
          <w:sz w:val="21"/>
          <w:szCs w:val="21"/>
        </w:rPr>
        <w:t xml:space="preserve">Subscription.plan is already a free-text string in the schema, so a CUSTOM value needs no migration. Nothing else exists: no Contact Sales form, no Billing-page fallback UI for a non-Free/Pro/Enterprise plan value, and no cross-org admin panel to set a negotiated seat count or feature list — that would be a manual database update per deal until enough custom accounts exist to justify building a real tool.</w:t>
      </w:r>
    </w:p>
    <w:p>
      <w:pPr>
        <w:spacing w:after="160" w:line="300"/>
      </w:pPr>
      <w:r>
        <w:rPr>
          <w:rFonts w:ascii="Calibri" w:cs="Calibri" w:eastAsia="Calibri" w:hAnsi="Calibri"/>
          <w:color w:val="262626"/>
          <w:sz w:val="21"/>
          <w:szCs w:val="21"/>
        </w:rPr>
        <w:t xml:space="preserve">Needed: a Contact Sales form (reusing the existing email infrastructure), a Billing-page CUSTOM fallback (badge instead of the plan grid’s upgrade buttons, "Contact your account manager" link instead of Stripe checkout), and an internal process for provisioning the negotiated deal once agreed.</w:t>
      </w:r>
    </w:p>
    <w:p>
      <w:pPr>
        <w:pStyle w:val="Heading2"/>
        <w:spacing w:after="120" w:before="300"/>
      </w:pPr>
      <w:r>
        <w:rPr>
          <w:rFonts w:ascii="Cambria" w:cs="Cambria" w:eastAsia="Cambria" w:hAnsi="Cambria"/>
          <w:b/>
          <w:bCs/>
          <w:color w:val="141B41"/>
          <w:sz w:val="24"/>
          <w:szCs w:val="24"/>
        </w:rPr>
        <w:t xml:space="preserve">8.3 Trial period</w:t>
      </w:r>
    </w:p>
    <w:p>
      <w:pPr>
        <w:spacing w:after="100"/>
      </w:pPr>
      <w:r>
        <w:rPr>
          <w:rFonts w:ascii="Calibri" w:cs="Calibri" w:eastAsia="Calibri" w:hAnsi="Calibri"/>
          <w:b/>
          <w:bCs/>
          <w:color w:val="FFFFFF"/>
          <w:sz w:val="18"/>
          <w:szCs w:val="18"/>
          <w:shd w:fill="B3261E" w:val="clear"/>
        </w:rPr>
        <w:t xml:space="preserve"> NOT BUILT </w:t>
      </w:r>
    </w:p>
    <w:p>
      <w:pPr>
        <w:spacing w:after="160" w:line="300"/>
      </w:pPr>
      <w:r>
        <w:rPr>
          <w:rFonts w:ascii="Calibri" w:cs="Calibri" w:eastAsia="Calibri" w:hAnsi="Calibri"/>
          <w:color w:val="262626"/>
          <w:sz w:val="21"/>
          <w:szCs w:val="21"/>
        </w:rPr>
        <w:t xml:space="preserve">No trial-related field exists on Subscription, and the Stripe checkout wrapper does not currently pass trial_period_days.</w:t>
      </w:r>
    </w:p>
    <w:p>
      <w:pPr>
        <w:spacing w:after="160" w:line="300"/>
      </w:pPr>
      <w:r>
        <w:rPr>
          <w:rFonts w:ascii="Calibri" w:cs="Calibri" w:eastAsia="Calibri" w:hAnsi="Calibri"/>
          <w:color w:val="262626"/>
          <w:sz w:val="21"/>
          <w:szCs w:val="21"/>
        </w:rPr>
        <w:t xml:space="preserve">Needed: a trial-end field on the subscription row, checkout updated to request a trial from Stripe, and downgrade logic for what happens when a trial lapses without a payment method on file. Needs a decision on trial length (a common default is 14 days).</w:t>
      </w:r>
    </w:p>
    <w:p>
      <w:pPr>
        <w:pStyle w:val="Heading1"/>
        <w:pBdr>
          <w:bottom w:val="single" w:color="00A88C" w:sz="6" w:space="4"/>
        </w:pBdr>
        <w:spacing w:after="200" w:before="420"/>
      </w:pPr>
      <w:r>
        <w:rPr>
          <w:rFonts w:ascii="Cambria" w:cs="Cambria" w:eastAsia="Cambria" w:hAnsi="Cambria"/>
          <w:b/>
          <w:bCs/>
          <w:color w:val="141B41"/>
          <w:sz w:val="30"/>
          <w:szCs w:val="30"/>
        </w:rPr>
        <w:t xml:space="preserve">9. Revenue Recommendations (Recap)</w:t>
      </w:r>
    </w:p>
    <w:p>
      <w:pPr>
        <w:spacing w:after="160" w:line="300"/>
      </w:pPr>
      <w:r>
        <w:rPr>
          <w:rFonts w:ascii="Calibri" w:cs="Calibri" w:eastAsia="Calibri" w:hAnsi="Calibri"/>
          <w:color w:val="262626"/>
          <w:sz w:val="21"/>
          <w:szCs w:val="21"/>
        </w:rPr>
        <w:t xml:space="preserve">Roughly ordered by effort-to-impact:</w:t>
      </w:r>
    </w:p>
    <w:p>
      <w:pPr>
        <w:pStyle w:val="ListParagraph"/>
        <w:numPr>
          <w:ilvl w:val="0"/>
          <w:numId w:val="2"/>
        </w:numPr>
        <w:spacing w:after="100" w:line="280"/>
      </w:pPr>
      <w:r>
        <w:rPr>
          <w:rFonts w:ascii="Calibri" w:cs="Calibri" w:eastAsia="Calibri" w:hAnsi="Calibri"/>
          <w:color w:val="262626"/>
          <w:sz w:val="21"/>
          <w:szCs w:val="21"/>
        </w:rPr>
        <w:t xml:space="preserve">Feature gating (Section 4) — done. Closes the gap between what the pricing page promised and what the app actually enforced.</w:t>
      </w:r>
    </w:p>
    <w:p>
      <w:pPr>
        <w:pStyle w:val="ListParagraph"/>
        <w:numPr>
          <w:ilvl w:val="0"/>
          <w:numId w:val="2"/>
        </w:numPr>
        <w:spacing w:after="100" w:line="280"/>
      </w:pPr>
      <w:r>
        <w:rPr>
          <w:rFonts w:ascii="Calibri" w:cs="Calibri" w:eastAsia="Calibri" w:hAnsi="Calibri"/>
          <w:color w:val="262626"/>
          <w:sz w:val="21"/>
          <w:szCs w:val="21"/>
        </w:rPr>
        <w:t xml:space="preserve">Usage-based add-ons on top of seats — AI and WhatsApp usage cost real money per call/send today regardless of plan; Section 6’s tracking is the prerequisite for setting sensible included quotas and overage pricing once patterns emerge.</w:t>
      </w:r>
    </w:p>
    <w:p>
      <w:pPr>
        <w:pStyle w:val="ListParagraph"/>
        <w:numPr>
          <w:ilvl w:val="0"/>
          <w:numId w:val="2"/>
        </w:numPr>
        <w:spacing w:after="100" w:line="280"/>
      </w:pPr>
      <w:r>
        <w:rPr>
          <w:rFonts w:ascii="Calibri" w:cs="Calibri" w:eastAsia="Calibri" w:hAnsi="Calibri"/>
          <w:color w:val="262626"/>
          <w:sz w:val="21"/>
          <w:szCs w:val="21"/>
        </w:rPr>
        <w:t xml:space="preserve">Annual billing discount (Section 8.1) — minimal extra engineering on top of the existing Stripe integration; typically improves cash flow and reduces churn.</w:t>
      </w:r>
    </w:p>
    <w:p>
      <w:pPr>
        <w:pStyle w:val="ListParagraph"/>
        <w:numPr>
          <w:ilvl w:val="0"/>
          <w:numId w:val="2"/>
        </w:numPr>
        <w:spacing w:after="100" w:line="280"/>
      </w:pPr>
      <w:r>
        <w:rPr>
          <w:rFonts w:ascii="Calibri" w:cs="Calibri" w:eastAsia="Calibri" w:hAnsi="Calibri"/>
          <w:color w:val="262626"/>
          <w:sz w:val="21"/>
          <w:szCs w:val="21"/>
        </w:rPr>
        <w:t xml:space="preserve">A time-boxed Pro/Enterprise trial (Section 8.3) — now that feature gating is real, a trial lets a Free org feel the Pro-only capabilities before the paywall reasserts, which tends to convert better than a features list alone.</w:t>
      </w:r>
    </w:p>
    <w:p>
      <w:pPr>
        <w:pStyle w:val="ListParagraph"/>
        <w:numPr>
          <w:ilvl w:val="0"/>
          <w:numId w:val="2"/>
        </w:numPr>
        <w:spacing w:after="100" w:line="280"/>
      </w:pPr>
      <w:r>
        <w:rPr>
          <w:rFonts w:ascii="Calibri" w:cs="Calibri" w:eastAsia="Calibri" w:hAnsi="Calibri"/>
          <w:color w:val="262626"/>
          <w:sz w:val="21"/>
          <w:szCs w:val="21"/>
        </w:rPr>
        <w:t xml:space="preserve">Usage caps beyond seats (ticket/lead/contact volume) — only worth prioritizing once Section 6’s data shows small-seat-count orgs driving disproportionate platform usage.</w:t>
      </w:r>
    </w:p>
    <w:p>
      <w:pPr>
        <w:spacing w:after="160" w:line="300"/>
      </w:pPr>
      <w:r>
        <w:rPr>
          <w:rFonts w:ascii="Calibri" w:cs="Calibri" w:eastAsia="Calibri" w:hAnsi="Calibri"/>
          <w:i/>
          <w:iCs/>
          <w:color w:val="5B6284"/>
          <w:sz w:val="21"/>
          <w:szCs w:val="21"/>
        </w:rPr>
        <w:t xml:space="preserve">Trade-offs worth watching now that feature gating is live: existing Free-tier orgs who’d built workflows around advanced AI, workflow automation, the customer portal, or analytics will hit the paywall immediately — worth deciding whether any grace period or one-time notice is warranted before this reaches production traffic.</w:t>
      </w:r>
    </w:p>
    <w:p>
      <w:pPr>
        <w:pStyle w:val="Heading1"/>
        <w:pBdr>
          <w:bottom w:val="single" w:color="00A88C" w:sz="6" w:space="4"/>
        </w:pBdr>
        <w:spacing w:after="200" w:before="420"/>
      </w:pPr>
      <w:r>
        <w:rPr>
          <w:rFonts w:ascii="Cambria" w:cs="Cambria" w:eastAsia="Cambria" w:hAnsi="Cambria"/>
          <w:b/>
          <w:bCs/>
          <w:color w:val="141B41"/>
          <w:sz w:val="30"/>
          <w:szCs w:val="30"/>
        </w:rPr>
        <w:t xml:space="preserve">10. Appendix — Implementation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shd w:fill="141B4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Area</w:t>
            </w:r>
          </w:p>
        </w:tc>
        <w:tc>
          <w:tcPr>
            <w:tcW w:type="dxa" w:w="6480"/>
            <w:shd w:fill="141B41"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File(s)</w:t>
            </w:r>
          </w:p>
        </w:tc>
      </w:tr>
      <w:tr>
        <w:tc>
          <w:tcPr>
            <w:tcW w:type="dxa" w:w="3600"/>
            <w:shd w:fill="EEF1FB" w:val="clear"/>
            <w:tcMar>
              <w:top w:type="dxa" w:w="100"/>
              <w:left w:type="dxa" w:w="120"/>
              <w:bottom w:type="dxa" w:w="100"/>
              <w:right w:type="dxa" w:w="120"/>
            </w:tcMar>
            <w:vAlign w:val="center"/>
          </w:tcPr>
          <w:p>
            <w:r>
              <w:rPr>
                <w:rFonts w:ascii="Calibri" w:cs="Calibri" w:eastAsia="Calibri" w:hAnsi="Calibri"/>
                <w:b/>
                <w:bCs/>
                <w:color w:val="262626"/>
                <w:sz w:val="19"/>
                <w:szCs w:val="19"/>
              </w:rPr>
              <w:t xml:space="preserve">Seat metering + feature gating logic</w:t>
            </w:r>
          </w:p>
        </w:tc>
        <w:tc>
          <w:tcPr>
            <w:tcW w:type="dxa" w:w="6480"/>
            <w:shd w:fill="EEF1FB" w:val="clear"/>
            <w:tcMar>
              <w:top w:type="dxa" w:w="100"/>
              <w:left w:type="dxa" w:w="120"/>
              <w:bottom w:type="dxa" w:w="100"/>
              <w:right w:type="dxa" w:w="120"/>
            </w:tcMar>
            <w:vAlign w:val="center"/>
          </w:tcPr>
          <w:p>
            <w:r>
              <w:rPr>
                <w:rFonts w:ascii="Calibri" w:cs="Calibri" w:eastAsia="Calibri" w:hAnsi="Calibri"/>
                <w:color w:val="262626"/>
                <w:sz w:val="19"/>
                <w:szCs w:val="19"/>
              </w:rPr>
              <w:t xml:space="preserve">server/src/utils/licensing.ts</w:t>
            </w:r>
          </w:p>
        </w:tc>
      </w:tr>
      <w:tr>
        <w:tc>
          <w:tcPr>
            <w:tcW w:type="dxa" w:w="3600"/>
            <w:tcMar>
              <w:top w:type="dxa" w:w="100"/>
              <w:left w:type="dxa" w:w="120"/>
              <w:bottom w:type="dxa" w:w="100"/>
              <w:right w:type="dxa" w:w="120"/>
            </w:tcMar>
            <w:vAlign w:val="center"/>
          </w:tcPr>
          <w:p>
            <w:r>
              <w:rPr>
                <w:rFonts w:ascii="Calibri" w:cs="Calibri" w:eastAsia="Calibri" w:hAnsi="Calibri"/>
                <w:b/>
                <w:bCs/>
                <w:color w:val="262626"/>
                <w:sz w:val="19"/>
                <w:szCs w:val="19"/>
              </w:rPr>
              <w:t xml:space="preserve">Seat enforcement call sites</w:t>
            </w:r>
          </w:p>
        </w:tc>
        <w:tc>
          <w:tcPr>
            <w:tcW w:type="dxa" w:w="6480"/>
            <w:tcMar>
              <w:top w:type="dxa" w:w="100"/>
              <w:left w:type="dxa" w:w="120"/>
              <w:bottom w:type="dxa" w:w="100"/>
              <w:right w:type="dxa" w:w="120"/>
            </w:tcMar>
            <w:vAlign w:val="center"/>
          </w:tcPr>
          <w:p>
            <w:r>
              <w:rPr>
                <w:rFonts w:ascii="Calibri" w:cs="Calibri" w:eastAsia="Calibri" w:hAnsi="Calibri"/>
                <w:color w:val="262626"/>
                <w:sz w:val="19"/>
                <w:szCs w:val="19"/>
              </w:rPr>
              <w:t xml:space="preserve">server/src/modules/core/users/usersAdmin.controller.ts, server/src/modules/core/auth/auth.controller.ts</w:t>
            </w:r>
          </w:p>
        </w:tc>
      </w:tr>
      <w:tr>
        <w:tc>
          <w:tcPr>
            <w:tcW w:type="dxa" w:w="3600"/>
            <w:shd w:fill="EEF1FB" w:val="clear"/>
            <w:tcMar>
              <w:top w:type="dxa" w:w="100"/>
              <w:left w:type="dxa" w:w="120"/>
              <w:bottom w:type="dxa" w:w="100"/>
              <w:right w:type="dxa" w:w="120"/>
            </w:tcMar>
            <w:vAlign w:val="center"/>
          </w:tcPr>
          <w:p>
            <w:r>
              <w:rPr>
                <w:rFonts w:ascii="Calibri" w:cs="Calibri" w:eastAsia="Calibri" w:hAnsi="Calibri"/>
                <w:b/>
                <w:bCs/>
                <w:color w:val="262626"/>
                <w:sz w:val="19"/>
                <w:szCs w:val="19"/>
              </w:rPr>
              <w:t xml:space="preserve">Feature-gate call sites</w:t>
            </w:r>
          </w:p>
        </w:tc>
        <w:tc>
          <w:tcPr>
            <w:tcW w:type="dxa" w:w="6480"/>
            <w:shd w:fill="EEF1FB" w:val="clear"/>
            <w:tcMar>
              <w:top w:type="dxa" w:w="100"/>
              <w:left w:type="dxa" w:w="120"/>
              <w:bottom w:type="dxa" w:w="100"/>
              <w:right w:type="dxa" w:w="120"/>
            </w:tcMar>
            <w:vAlign w:val="center"/>
          </w:tcPr>
          <w:p>
            <w:r>
              <w:rPr>
                <w:rFonts w:ascii="Calibri" w:cs="Calibri" w:eastAsia="Calibri" w:hAnsi="Calibri"/>
                <w:color w:val="262626"/>
                <w:sz w:val="19"/>
                <w:szCs w:val="19"/>
              </w:rPr>
              <w:t xml:space="preserve">server/src/modules/ai/ai.routes.ts, workflows/workflows.routes.ts, portal/portalUsers.routes.ts, analytics/analytics.routes.ts, core/reports/reports.routes.ts, branding/branding.routes.ts</w:t>
            </w:r>
          </w:p>
        </w:tc>
      </w:tr>
      <w:tr>
        <w:tc>
          <w:tcPr>
            <w:tcW w:type="dxa" w:w="3600"/>
            <w:tcMar>
              <w:top w:type="dxa" w:w="100"/>
              <w:left w:type="dxa" w:w="120"/>
              <w:bottom w:type="dxa" w:w="100"/>
              <w:right w:type="dxa" w:w="120"/>
            </w:tcMar>
            <w:vAlign w:val="center"/>
          </w:tcPr>
          <w:p>
            <w:r>
              <w:rPr>
                <w:rFonts w:ascii="Calibri" w:cs="Calibri" w:eastAsia="Calibri" w:hAnsi="Calibri"/>
                <w:b/>
                <w:bCs/>
                <w:color w:val="262626"/>
                <w:sz w:val="19"/>
                <w:szCs w:val="19"/>
              </w:rPr>
              <w:t xml:space="preserve">Billing / Stripe integration</w:t>
            </w:r>
          </w:p>
        </w:tc>
        <w:tc>
          <w:tcPr>
            <w:tcW w:type="dxa" w:w="6480"/>
            <w:tcMar>
              <w:top w:type="dxa" w:w="100"/>
              <w:left w:type="dxa" w:w="120"/>
              <w:bottom w:type="dxa" w:w="100"/>
              <w:right w:type="dxa" w:w="120"/>
            </w:tcMar>
            <w:vAlign w:val="center"/>
          </w:tcPr>
          <w:p>
            <w:r>
              <w:rPr>
                <w:rFonts w:ascii="Calibri" w:cs="Calibri" w:eastAsia="Calibri" w:hAnsi="Calibri"/>
                <w:color w:val="262626"/>
                <w:sz w:val="19"/>
                <w:szCs w:val="19"/>
              </w:rPr>
              <w:t xml:space="preserve">server/src/utils/stripe.ts (PLANS + FeatureKey), server/src/modules/billing/billing.controller.ts</w:t>
            </w:r>
          </w:p>
        </w:tc>
      </w:tr>
      <w:tr>
        <w:tc>
          <w:tcPr>
            <w:tcW w:type="dxa" w:w="3600"/>
            <w:shd w:fill="EEF1FB" w:val="clear"/>
            <w:tcMar>
              <w:top w:type="dxa" w:w="100"/>
              <w:left w:type="dxa" w:w="120"/>
              <w:bottom w:type="dxa" w:w="100"/>
              <w:right w:type="dxa" w:w="120"/>
            </w:tcMar>
            <w:vAlign w:val="center"/>
          </w:tcPr>
          <w:p>
            <w:r>
              <w:rPr>
                <w:rFonts w:ascii="Calibri" w:cs="Calibri" w:eastAsia="Calibri" w:hAnsi="Calibri"/>
                <w:b/>
                <w:bCs/>
                <w:color w:val="262626"/>
                <w:sz w:val="19"/>
                <w:szCs w:val="19"/>
              </w:rPr>
              <w:t xml:space="preserve">Usage tracking</w:t>
            </w:r>
          </w:p>
        </w:tc>
        <w:tc>
          <w:tcPr>
            <w:tcW w:type="dxa" w:w="6480"/>
            <w:shd w:fill="EEF1FB" w:val="clear"/>
            <w:tcMar>
              <w:top w:type="dxa" w:w="100"/>
              <w:left w:type="dxa" w:w="120"/>
              <w:bottom w:type="dxa" w:w="100"/>
              <w:right w:type="dxa" w:w="120"/>
            </w:tcMar>
            <w:vAlign w:val="center"/>
          </w:tcPr>
          <w:p>
            <w:r>
              <w:rPr>
                <w:rFonts w:ascii="Calibri" w:cs="Calibri" w:eastAsia="Calibri" w:hAnsi="Calibri"/>
                <w:color w:val="262626"/>
                <w:sz w:val="19"/>
                <w:szCs w:val="19"/>
              </w:rPr>
              <w:t xml:space="preserve">server/src/utils/usageTracking.ts, server/src/modules/ai/ai.routes.ts, server/src/utils/whatsapp.ts, server/src/modules/inbox/inbox.controller.ts</w:t>
            </w:r>
          </w:p>
        </w:tc>
      </w:tr>
      <w:tr>
        <w:tc>
          <w:tcPr>
            <w:tcW w:type="dxa" w:w="3600"/>
            <w:tcMar>
              <w:top w:type="dxa" w:w="100"/>
              <w:left w:type="dxa" w:w="120"/>
              <w:bottom w:type="dxa" w:w="100"/>
              <w:right w:type="dxa" w:w="120"/>
            </w:tcMar>
            <w:vAlign w:val="center"/>
          </w:tcPr>
          <w:p>
            <w:r>
              <w:rPr>
                <w:rFonts w:ascii="Calibri" w:cs="Calibri" w:eastAsia="Calibri" w:hAnsi="Calibri"/>
                <w:b/>
                <w:bCs/>
                <w:color w:val="262626"/>
                <w:sz w:val="19"/>
                <w:szCs w:val="19"/>
              </w:rPr>
              <w:t xml:space="preserve">Subscription data model</w:t>
            </w:r>
          </w:p>
        </w:tc>
        <w:tc>
          <w:tcPr>
            <w:tcW w:type="dxa" w:w="6480"/>
            <w:tcMar>
              <w:top w:type="dxa" w:w="100"/>
              <w:left w:type="dxa" w:w="120"/>
              <w:bottom w:type="dxa" w:w="100"/>
              <w:right w:type="dxa" w:w="120"/>
            </w:tcMar>
            <w:vAlign w:val="center"/>
          </w:tcPr>
          <w:p>
            <w:r>
              <w:rPr>
                <w:rFonts w:ascii="Calibri" w:cs="Calibri" w:eastAsia="Calibri" w:hAnsi="Calibri"/>
                <w:color w:val="262626"/>
                <w:sz w:val="19"/>
                <w:szCs w:val="19"/>
              </w:rPr>
              <w:t xml:space="preserve">server/prisma/schema.prisma — Subscription, UsageEvent models</w:t>
            </w:r>
          </w:p>
        </w:tc>
      </w:tr>
      <w:tr>
        <w:tc>
          <w:tcPr>
            <w:tcW w:type="dxa" w:w="3600"/>
            <w:shd w:fill="EEF1FB" w:val="clear"/>
            <w:tcMar>
              <w:top w:type="dxa" w:w="100"/>
              <w:left w:type="dxa" w:w="120"/>
              <w:bottom w:type="dxa" w:w="100"/>
              <w:right w:type="dxa" w:w="120"/>
            </w:tcMar>
            <w:vAlign w:val="center"/>
          </w:tcPr>
          <w:p>
            <w:r>
              <w:rPr>
                <w:rFonts w:ascii="Calibri" w:cs="Calibri" w:eastAsia="Calibri" w:hAnsi="Calibri"/>
                <w:b/>
                <w:bCs/>
                <w:color w:val="262626"/>
                <w:sz w:val="19"/>
                <w:szCs w:val="19"/>
              </w:rPr>
              <w:t xml:space="preserve">Billing &amp; Plans UI</w:t>
            </w:r>
          </w:p>
        </w:tc>
        <w:tc>
          <w:tcPr>
            <w:tcW w:type="dxa" w:w="6480"/>
            <w:shd w:fill="EEF1FB" w:val="clear"/>
            <w:tcMar>
              <w:top w:type="dxa" w:w="100"/>
              <w:left w:type="dxa" w:w="120"/>
              <w:bottom w:type="dxa" w:w="100"/>
              <w:right w:type="dxa" w:w="120"/>
            </w:tcMar>
            <w:vAlign w:val="center"/>
          </w:tcPr>
          <w:p>
            <w:r>
              <w:rPr>
                <w:rFonts w:ascii="Calibri" w:cs="Calibri" w:eastAsia="Calibri" w:hAnsi="Calibri"/>
                <w:color w:val="262626"/>
                <w:sz w:val="19"/>
                <w:szCs w:val="19"/>
              </w:rPr>
              <w:t xml:space="preserve">client/src/pages/BillingPage.tsx, client/src/api/billing.ts</w:t>
            </w:r>
          </w:p>
        </w:tc>
      </w:tr>
      <w:tr>
        <w:tc>
          <w:tcPr>
            <w:tcW w:type="dxa" w:w="3600"/>
            <w:tcMar>
              <w:top w:type="dxa" w:w="100"/>
              <w:left w:type="dxa" w:w="120"/>
              <w:bottom w:type="dxa" w:w="100"/>
              <w:right w:type="dxa" w:w="120"/>
            </w:tcMar>
            <w:vAlign w:val="center"/>
          </w:tcPr>
          <w:p>
            <w:r>
              <w:rPr>
                <w:rFonts w:ascii="Calibri" w:cs="Calibri" w:eastAsia="Calibri" w:hAnsi="Calibri"/>
                <w:b/>
                <w:bCs/>
                <w:color w:val="262626"/>
                <w:sz w:val="19"/>
                <w:szCs w:val="19"/>
              </w:rPr>
              <w:t xml:space="preserve">Attachments &amp; storage logic</w:t>
            </w:r>
          </w:p>
        </w:tc>
        <w:tc>
          <w:tcPr>
            <w:tcW w:type="dxa" w:w="6480"/>
            <w:tcMar>
              <w:top w:type="dxa" w:w="100"/>
              <w:left w:type="dxa" w:w="120"/>
              <w:bottom w:type="dxa" w:w="100"/>
              <w:right w:type="dxa" w:w="120"/>
            </w:tcMar>
            <w:vAlign w:val="center"/>
          </w:tcPr>
          <w:p>
            <w:r>
              <w:rPr>
                <w:rFonts w:ascii="Calibri" w:cs="Calibri" w:eastAsia="Calibri" w:hAnsi="Calibri"/>
                <w:color w:val="262626"/>
                <w:sz w:val="19"/>
                <w:szCs w:val="19"/>
              </w:rPr>
              <w:t xml:space="preserve">server/src/utils/googleDrive.ts, server/src/utils/s3Storage.ts, server/src/utils/storage.ts, server/src/utils/entityAccess.ts, server/src/modules/attachments, server/src/modules/storage</w:t>
            </w:r>
          </w:p>
        </w:tc>
      </w:tr>
      <w:tr>
        <w:tc>
          <w:tcPr>
            <w:tcW w:type="dxa" w:w="3600"/>
            <w:tcMar>
              <w:top w:type="dxa" w:w="100"/>
              <w:left w:type="dxa" w:w="120"/>
              <w:bottom w:type="dxa" w:w="100"/>
              <w:right w:type="dxa" w:w="120"/>
            </w:tcMar>
            <w:vAlign w:val="center"/>
          </w:tcPr>
          <w:p>
            <w:r>
              <w:rPr>
                <w:rFonts w:ascii="Calibri" w:cs="Calibri" w:eastAsia="Calibri" w:hAnsi="Calibri"/>
                <w:b/>
                <w:bCs/>
                <w:color w:val="262626"/>
                <w:sz w:val="19"/>
                <w:szCs w:val="19"/>
              </w:rPr>
              <w:t xml:space="preserve">Attachments &amp; storage UI</w:t>
            </w:r>
          </w:p>
        </w:tc>
        <w:tc>
          <w:tcPr>
            <w:tcW w:type="dxa" w:w="6480"/>
            <w:tcMar>
              <w:top w:type="dxa" w:w="100"/>
              <w:left w:type="dxa" w:w="120"/>
              <w:bottom w:type="dxa" w:w="100"/>
              <w:right w:type="dxa" w:w="120"/>
            </w:tcMar>
            <w:vAlign w:val="center"/>
          </w:tcPr>
          <w:p>
            <w:r>
              <w:rPr>
                <w:rFonts w:ascii="Calibri" w:cs="Calibri" w:eastAsia="Calibri" w:hAnsi="Calibri"/>
                <w:color w:val="262626"/>
                <w:sz w:val="19"/>
                <w:szCs w:val="19"/>
              </w:rPr>
              <w:t xml:space="preserve">client/src/shared/components/Attachments.tsx, client/src/pages/StoragePage.tsx, client/src/api/storage.ts</w:t>
            </w:r>
          </w:p>
        </w:tc>
      </w:tr>
      <w:tr>
        <w:tc>
          <w:tcPr>
            <w:tcW w:type="dxa" w:w="3600"/>
            <w:tcMar>
              <w:top w:type="dxa" w:w="100"/>
              <w:left w:type="dxa" w:w="120"/>
              <w:bottom w:type="dxa" w:w="100"/>
              <w:right w:type="dxa" w:w="120"/>
            </w:tcMar>
            <w:vAlign w:val="center"/>
          </w:tcPr>
          <w:p>
            <w:r>
              <w:rPr>
                <w:rFonts w:ascii="Calibri" w:cs="Calibri" w:eastAsia="Calibri" w:hAnsi="Calibri"/>
                <w:b/>
                <w:bCs/>
                <w:color w:val="262626"/>
                <w:sz w:val="19"/>
                <w:szCs w:val="19"/>
              </w:rPr>
              <w:t xml:space="preserve">402 / upgrade-prompt UX</w:t>
            </w:r>
          </w:p>
        </w:tc>
        <w:tc>
          <w:tcPr>
            <w:tcW w:type="dxa" w:w="6480"/>
            <w:tcMar>
              <w:top w:type="dxa" w:w="100"/>
              <w:left w:type="dxa" w:w="120"/>
              <w:bottom w:type="dxa" w:w="100"/>
              <w:right w:type="dxa" w:w="120"/>
            </w:tcMar>
            <w:vAlign w:val="center"/>
          </w:tcPr>
          <w:p>
            <w:r>
              <w:rPr>
                <w:rFonts w:ascii="Calibri" w:cs="Calibri" w:eastAsia="Calibri" w:hAnsi="Calibri"/>
                <w:color w:val="262626"/>
                <w:sz w:val="19"/>
                <w:szCs w:val="19"/>
              </w:rPr>
              <w:t xml:space="preserve">client/src/api/client.ts, client/src/shared/components/toastStore.ts, client/src/shared/components/ToastContainer.tsx</w:t>
            </w:r>
          </w:p>
        </w:tc>
      </w:tr>
    </w:tbl>
    <w:p>
      <w:pPr>
        <w:spacing w:before="400"/>
      </w:pPr>
      <w:r>
        <w:rPr>
          <w:rFonts w:ascii="Calibri" w:cs="Calibri" w:eastAsia="Calibri" w:hAnsi="Calibri"/>
          <w:i/>
          <w:iCs/>
          <w:color w:val="8A8A8A"/>
          <w:sz w:val="18"/>
          <w:szCs w:val="18"/>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A8A"/>
        <w:sz w:val="16"/>
        <w:szCs w:val="16"/>
      </w:rPr>
      <w:t xml:space="preserve">Page </w:t>
    </w:r>
    <w:r>
      <w:rPr>
        <w:rFonts w:ascii="Calibri" w:cs="Calibri" w:eastAsia="Calibri" w:hAnsi="Calibri"/>
        <w:color w:val="8A8A8A"/>
        <w:sz w:val="16"/>
        <w:szCs w:val="16"/>
      </w:rPr>
      <w:fldChar w:fldCharType="begin"/>
      <w:instrText xml:space="preserve">PAGE</w:instrText>
      <w:fldChar w:fldCharType="separate"/>
      <w:fldChar w:fldCharType="end"/>
    </w:r>
    <w:r>
      <w:rPr>
        <w:rFonts w:ascii="Calibri" w:cs="Calibri" w:eastAsia="Calibri" w:hAnsi="Calibri"/>
        <w:color w:val="8A8A8A"/>
        <w:sz w:val="16"/>
        <w:szCs w:val="16"/>
      </w:rPr>
      <w:t xml:space="preserve"> of </w:t>
    </w:r>
    <w:r>
      <w:rPr>
        <w:rFonts w:ascii="Calibri" w:cs="Calibri" w:eastAsia="Calibri" w:hAnsi="Calibri"/>
        <w:color w:val="8A8A8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Calibri" w:cs="Calibri" w:eastAsia="Calibri" w:hAnsi="Calibri"/>
        <w:color w:val="8A8A8A"/>
        <w:sz w:val="16"/>
        <w:szCs w:val="16"/>
      </w:rPr>
      <w:t xml:space="preserve">CRMITdesk Evolved — Licensing &amp; Plans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2026-07-28T08:28:19.567Z</dcterms:created>
  <dcterms:modified xsi:type="dcterms:W3CDTF">2026-07-28T08:28:19.567Z</dcterms:modified>
</cp:coreProperties>
</file>

<file path=docProps/custom.xml><?xml version="1.0" encoding="utf-8"?>
<Properties xmlns="http://schemas.openxmlformats.org/officeDocument/2006/custom-properties" xmlns:vt="http://schemas.openxmlformats.org/officeDocument/2006/docPropsVTypes"/>
</file>