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44"/>
          <w:szCs w:val="44"/>
        </w:rPr>
        <w:t xml:space="preserve">CRMITdesk Evolved</w:t>
      </w:r>
    </w:p>
    <w:p>
      <w:pPr>
        <w:spacing w:after="60"/>
      </w:pPr>
      <w:r>
        <w:rPr>
          <w:b/>
          <w:bCs/>
          <w:sz w:val="32"/>
          <w:szCs w:val="32"/>
        </w:rPr>
        <w:t xml:space="preserve">White-Label Sending &amp; Licensing Plan</w:t>
      </w:r>
    </w:p>
    <w:p>
      <w:pPr>
        <w:spacing w:after="320"/>
      </w:pPr>
      <w:r>
        <w:rPr>
          <w:i/>
          <w:iCs/>
          <w:color w:val="6B7280"/>
          <w:sz w:val="22"/>
          <w:szCs w:val="22"/>
        </w:rPr>
        <w:t xml:space="preserve">Feedback / CSAT · Portal · Invitations · Campaigns · WhatsApp — sent through the platform, branded as each customer’s own</w:t>
      </w:r>
    </w:p>
    <w:p>
      <w:pPr>
        <w:pStyle w:val="Heading1"/>
        <w:spacing w:after="160" w:before="320"/>
      </w:pPr>
      <w:r>
        <w:t xml:space="preserve">1. Goal</w:t>
      </w:r>
    </w:p>
    <w:p>
      <w:pPr>
        <w:spacing w:after="160"/>
      </w:pPr>
      <w:r>
        <w:t xml:space="preserve">Right now, every org has to bring its own sending infrastructure: connect its own SMTP account for email, and connect its own Twilio WhatsApp number, before feedback surveys, portal links, invitations, campaigns, or WhatsApp notifications go out under its own name. That is a real onboarding barrier — most customers do not have (or want to set up) a Twilio account or an SMTP server on day one.</w:t>
      </w:r>
    </w:p>
    <w:p>
      <w:pPr>
        <w:spacing w:after="160"/>
      </w:pPr>
      <w:r>
        <w:t xml:space="preserve">The goal of this plan is to flip the default: the platform sends on the customer’s behalf, using infrastructure and licenses the platform already owns, while the recipient still sees the customer’s own name, logo, and (for WhatsApp) their own number. Org-owned SMTP/Twilio remains supported as an optional override for customers who want full control.</w:t>
      </w:r>
    </w:p>
    <w:p>
      <w:pPr>
        <w:pStyle w:val="Heading1"/>
        <w:spacing w:after="160" w:before="320"/>
      </w:pPr>
      <w:r>
        <w:t xml:space="preserve">2. Current State (what exists today)</w:t>
      </w:r>
    </w:p>
    <w:p>
      <w:pPr>
        <w:pStyle w:val="ListParagraph"/>
        <w:numPr>
          <w:ilvl w:val="0"/>
          <w:numId w:val="2"/>
        </w:numPr>
        <w:spacing w:after="80"/>
      </w:pPr>
      <w:r>
        <w:t xml:space="preserve">Email: server/src/utils/mailer.ts tries the org’s own connected SMTP account first (EmailAccount model), then falls back to the platform’s Resend/SMTP account — but the fallback is unbranded (platform name, not the org’s).</w:t>
      </w:r>
    </w:p>
    <w:p>
      <w:pPr>
        <w:pStyle w:val="ListParagraph"/>
        <w:numPr>
          <w:ilvl w:val="0"/>
          <w:numId w:val="2"/>
        </w:numPr>
        <w:spacing w:after="80"/>
      </w:pPr>
      <w:r>
        <w:t xml:space="preserve">WhatsApp: server/src/utils/whatsapp.ts requires each org to connect its own Twilio Account SID, Auth Token, and phone number (WhatsAppConfig model). There is no platform-owned fallback at all — orgs without their own Twilio account cannot send WhatsApp.</w:t>
      </w:r>
    </w:p>
    <w:p>
      <w:pPr>
        <w:pStyle w:val="ListParagraph"/>
        <w:numPr>
          <w:ilvl w:val="0"/>
          <w:numId w:val="2"/>
        </w:numPr>
        <w:spacing w:after="80"/>
      </w:pPr>
      <w:r>
        <w:t xml:space="preserve">Branding: OrgBranding stores companyName, logoUrl, primaryColor, supportEmail — used on the customer portal today, not yet threaded into email "From" identity or WhatsApp sender identity.</w:t>
      </w:r>
    </w:p>
    <w:p>
      <w:pPr>
        <w:pStyle w:val="ListParagraph"/>
        <w:numPr>
          <w:ilvl w:val="0"/>
          <w:numId w:val="2"/>
        </w:numPr>
        <w:spacing w:after="80"/>
      </w:pPr>
      <w:r>
        <w:t xml:space="preserve">Licensing/plan: Organization.plan and a Subscription model (Stripe customer/subscription id, plan, status, seats) already exist and can gate which sending tier an org is entitled to.</w:t>
      </w:r>
    </w:p>
    <w:p>
      <w:pPr>
        <w:pStyle w:val="ListParagraph"/>
        <w:numPr>
          <w:ilvl w:val="0"/>
          <w:numId w:val="2"/>
        </w:numPr>
        <w:spacing w:after="80"/>
      </w:pPr>
      <w:r>
        <w:t xml:space="preserve">Admin visibility: until this session, there was no cross-org account — every SUPER_ADMIN is scoped to one org. See Section 6 for the new Platform Admin console that closes this gap.</w:t>
      </w:r>
    </w:p>
    <w:p>
      <w:pPr>
        <w:pStyle w:val="Heading1"/>
        <w:spacing w:after="160" w:before="320"/>
      </w:pPr>
      <w:r>
        <w:t xml:space="preserve">3. Email White-Labeling</w:t>
      </w:r>
    </w:p>
    <w:p>
      <w:pPr>
        <w:spacing w:after="160"/>
      </w:pPr>
      <w:r>
        <w:t xml:space="preserve">Two tiers, so every org gets branded email on day one, with an upgrade path for orgs that want maximum deliverability under their own domain.</w:t>
      </w:r>
    </w:p>
    <w:p>
      <w:pPr>
        <w:pStyle w:val="Heading2"/>
        <w:spacing w:after="120" w:before="240"/>
      </w:pPr>
      <w:r>
        <w:t xml:space="preserve">Tier 1 — Shared platform domain (default, zero setup)</w:t>
      </w:r>
    </w:p>
    <w:p>
      <w:pPr>
        <w:spacing w:after="160"/>
      </w:pPr>
      <w:r>
        <w:t xml:space="preserve">All email continues to physically send through the platform’s own verified domain and ESP account (Resend), but the message is dressed as the org’s:</w:t>
      </w:r>
    </w:p>
    <w:p>
      <w:pPr>
        <w:pStyle w:val="ListParagraph"/>
        <w:numPr>
          <w:ilvl w:val="0"/>
          <w:numId w:val="2"/>
        </w:numPr>
        <w:spacing w:after="80"/>
      </w:pPr>
      <w:r>
        <w:t xml:space="preserve">From: "{Org Company Name}" &lt;notifications@crmitdesk.app&gt; — the display name comes from OrgBranding.companyName.</w:t>
      </w:r>
    </w:p>
    <w:p>
      <w:pPr>
        <w:pStyle w:val="ListParagraph"/>
        <w:numPr>
          <w:ilvl w:val="0"/>
          <w:numId w:val="2"/>
        </w:numPr>
        <w:spacing w:after="80"/>
      </w:pPr>
      <w:r>
        <w:t xml:space="preserve">Reply-To: the org’s own support email (OrgBranding.supportEmail), so replies go to the customer, not the platform.</w:t>
      </w:r>
    </w:p>
    <w:p>
      <w:pPr>
        <w:pStyle w:val="ListParagraph"/>
        <w:numPr>
          <w:ilvl w:val="0"/>
          <w:numId w:val="2"/>
        </w:numPr>
        <w:spacing w:after="80"/>
      </w:pPr>
      <w:r>
        <w:t xml:space="preserve">HTML template stamped with the org’s logo and primary color from OrgBranding.</w:t>
      </w:r>
    </w:p>
    <w:p>
      <w:pPr>
        <w:pStyle w:val="ListParagraph"/>
        <w:numPr>
          <w:ilvl w:val="0"/>
          <w:numId w:val="2"/>
        </w:numPr>
        <w:spacing w:after="80"/>
      </w:pPr>
      <w:r>
        <w:t xml:space="preserve">No DNS work, no waiting — works immediately for every org, including ones on the Free plan.</w:t>
      </w:r>
    </w:p>
    <w:p>
      <w:pPr>
        <w:pStyle w:val="Heading2"/>
        <w:spacing w:after="120" w:before="240"/>
      </w:pPr>
      <w:r>
        <w:t xml:space="preserve">Tier 2 — Per-org verified sending domain (premium)</w:t>
      </w:r>
    </w:p>
    <w:p>
      <w:pPr>
        <w:spacing w:after="160"/>
      </w:pPr>
      <w:r>
        <w:t xml:space="preserve">For orgs that connect their own subdomain (e.g. mail.glowsalonspa.io), the platform provisions a verified sending domain via Resend’s Domains API under the platform’s own Resend account — the org never needs its own ESP account or credit card.</w:t>
      </w:r>
    </w:p>
    <w:p>
      <w:pPr>
        <w:pStyle w:val="ListParagraph"/>
        <w:numPr>
          <w:ilvl w:val="0"/>
          <w:numId w:val="2"/>
        </w:numPr>
        <w:spacing w:after="80"/>
      </w:pPr>
      <w:r>
        <w:t xml:space="preserve">Org admin enters a subdomain they own in Settings → Branding.</w:t>
      </w:r>
    </w:p>
    <w:p>
      <w:pPr>
        <w:pStyle w:val="ListParagraph"/>
        <w:numPr>
          <w:ilvl w:val="0"/>
          <w:numId w:val="2"/>
        </w:numPr>
        <w:spacing w:after="80"/>
      </w:pPr>
      <w:r>
        <w:t xml:space="preserve">Platform calls Resend’s domain-create API and returns 3 DNS records (SPF, DKIM, a return-path CNAME) for the org to add at their registrar.</w:t>
      </w:r>
    </w:p>
    <w:p>
      <w:pPr>
        <w:pStyle w:val="ListParagraph"/>
        <w:numPr>
          <w:ilvl w:val="0"/>
          <w:numId w:val="2"/>
        </w:numPr>
        <w:spacing w:after="80"/>
      </w:pPr>
      <w:r>
        <w:t xml:space="preserve">Once DNS propagates (usually under an hour, up to 48h), Resend marks the domain verified and the platform automatically starts sending that org’s mail from it — true "from their own domain" delivery.</w:t>
      </w:r>
    </w:p>
    <w:p>
      <w:pPr>
        <w:pStyle w:val="ListParagraph"/>
        <w:numPr>
          <w:ilvl w:val="0"/>
          <w:numId w:val="2"/>
        </w:numPr>
        <w:spacing w:after="80"/>
      </w:pPr>
      <w:r>
        <w:t xml:space="preserve">Gate this tier behind a paid plan (Subscription.plan) — Resend’s pricing scales with number of verified domains on paid tiers.</w:t>
      </w:r>
    </w:p>
    <w:p>
      <w:pPr>
        <w:pStyle w:val="Heading2"/>
        <w:spacing w:after="120" w:before="240"/>
      </w:pPr>
      <w:r>
        <w:t xml:space="preserve">Sending precedence (server/src/utils/mailer.ts)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300"/>
      </w:tblGrid>
      <w:tr>
        <w:trPr>
          <w:tblHeader/>
        </w:trPr>
        <w:tc>
          <w:tcPr>
            <w:tcW w:type="dxa" w:w="1600"/>
            <w:shd w:fill="2563EB" w:val="clear"/>
            <w:tcMar>
              <w:top w:type="dxa" w:w="100"/>
              <w:left w:type="dxa" w:w="120"/>
              <w:bottom w:type="dxa" w:w="100"/>
              <w:right w:type="dxa" w:w="120"/>
            </w:tcMar>
          </w:tcPr>
          <w:p>
            <w:r>
              <w:rPr>
                <w:b/>
                <w:bCs/>
                <w:color w:val="FFFFFF"/>
                <w:sz w:val="20"/>
                <w:szCs w:val="20"/>
              </w:rPr>
              <w:t xml:space="preserve">Order</w:t>
            </w:r>
          </w:p>
        </w:tc>
        <w:tc>
          <w:tcPr>
            <w:tcW w:type="dxa" w:w="3600"/>
            <w:shd w:fill="2563EB" w:val="clear"/>
            <w:tcMar>
              <w:top w:type="dxa" w:w="100"/>
              <w:left w:type="dxa" w:w="120"/>
              <w:bottom w:type="dxa" w:w="100"/>
              <w:right w:type="dxa" w:w="120"/>
            </w:tcMar>
          </w:tcPr>
          <w:p>
            <w:r>
              <w:rPr>
                <w:b/>
                <w:bCs/>
                <w:color w:val="FFFFFF"/>
                <w:sz w:val="20"/>
                <w:szCs w:val="20"/>
              </w:rPr>
              <w:t xml:space="preserve">Source</w:t>
            </w:r>
          </w:p>
        </w:tc>
        <w:tc>
          <w:tcPr>
            <w:tcW w:type="dxa" w:w="4300"/>
            <w:shd w:fill="2563EB" w:val="clear"/>
            <w:tcMar>
              <w:top w:type="dxa" w:w="100"/>
              <w:left w:type="dxa" w:w="120"/>
              <w:bottom w:type="dxa" w:w="100"/>
              <w:right w:type="dxa" w:w="120"/>
            </w:tcMar>
          </w:tcPr>
          <w:p>
            <w:r>
              <w:rPr>
                <w:b/>
                <w:bCs/>
                <w:color w:val="FFFFFF"/>
                <w:sz w:val="20"/>
                <w:szCs w:val="20"/>
              </w:rPr>
              <w:t xml:space="preserve">When used</w:t>
            </w:r>
          </w:p>
        </w:tc>
      </w:tr>
      <w:tr>
        <w:tc>
          <w:tcPr>
            <w:tcW w:type="dxa" w:w="1600"/>
            <w:tcMar>
              <w:top w:type="dxa" w:w="100"/>
              <w:left w:type="dxa" w:w="120"/>
              <w:bottom w:type="dxa" w:w="100"/>
              <w:right w:type="dxa" w:w="120"/>
            </w:tcMar>
          </w:tcPr>
          <w:p>
            <w:r>
              <w:rPr>
                <w:b w:val="false"/>
                <w:bCs w:val="false"/>
                <w:color w:val="111827"/>
                <w:sz w:val="20"/>
                <w:szCs w:val="20"/>
              </w:rPr>
              <w:t xml:space="preserve">1</w:t>
            </w:r>
          </w:p>
        </w:tc>
        <w:tc>
          <w:tcPr>
            <w:tcW w:type="dxa" w:w="3600"/>
            <w:tcMar>
              <w:top w:type="dxa" w:w="100"/>
              <w:left w:type="dxa" w:w="120"/>
              <w:bottom w:type="dxa" w:w="100"/>
              <w:right w:type="dxa" w:w="120"/>
            </w:tcMar>
          </w:tcPr>
          <w:p>
            <w:r>
              <w:rPr>
                <w:b w:val="false"/>
                <w:bCs w:val="false"/>
                <w:color w:val="111827"/>
                <w:sz w:val="20"/>
                <w:szCs w:val="20"/>
              </w:rPr>
              <w:t xml:space="preserve">Org’s own SMTP (EmailAccount)</w:t>
            </w:r>
          </w:p>
        </w:tc>
        <w:tc>
          <w:tcPr>
            <w:tcW w:type="dxa" w:w="4300"/>
            <w:tcMar>
              <w:top w:type="dxa" w:w="100"/>
              <w:left w:type="dxa" w:w="120"/>
              <w:bottom w:type="dxa" w:w="100"/>
              <w:right w:type="dxa" w:w="120"/>
            </w:tcMar>
          </w:tcPr>
          <w:p>
            <w:r>
              <w:rPr>
                <w:b w:val="false"/>
                <w:bCs w:val="false"/>
                <w:color w:val="111827"/>
                <w:sz w:val="20"/>
                <w:szCs w:val="20"/>
              </w:rPr>
              <w:t xml:space="preserve">Org explicitly connected their own mailbox — full control, existing behavior kept as-is.</w:t>
            </w:r>
          </w:p>
        </w:tc>
      </w:tr>
      <w:tr>
        <w:tc>
          <w:tcPr>
            <w:tcW w:type="dxa" w:w="1600"/>
            <w:tcMar>
              <w:top w:type="dxa" w:w="100"/>
              <w:left w:type="dxa" w:w="120"/>
              <w:bottom w:type="dxa" w:w="100"/>
              <w:right w:type="dxa" w:w="120"/>
            </w:tcMar>
          </w:tcPr>
          <w:p>
            <w:r>
              <w:rPr>
                <w:b w:val="false"/>
                <w:bCs w:val="false"/>
                <w:color w:val="111827"/>
                <w:sz w:val="20"/>
                <w:szCs w:val="20"/>
              </w:rPr>
              <w:t xml:space="preserve">2</w:t>
            </w:r>
          </w:p>
        </w:tc>
        <w:tc>
          <w:tcPr>
            <w:tcW w:type="dxa" w:w="3600"/>
            <w:tcMar>
              <w:top w:type="dxa" w:w="100"/>
              <w:left w:type="dxa" w:w="120"/>
              <w:bottom w:type="dxa" w:w="100"/>
              <w:right w:type="dxa" w:w="120"/>
            </w:tcMar>
          </w:tcPr>
          <w:p>
            <w:r>
              <w:rPr>
                <w:b w:val="false"/>
                <w:bCs w:val="false"/>
                <w:color w:val="111827"/>
                <w:sz w:val="20"/>
                <w:szCs w:val="20"/>
              </w:rPr>
              <w:t xml:space="preserve">Org’s verified Resend subdomain (Tier 2)</w:t>
            </w:r>
          </w:p>
        </w:tc>
        <w:tc>
          <w:tcPr>
            <w:tcW w:type="dxa" w:w="4300"/>
            <w:tcMar>
              <w:top w:type="dxa" w:w="100"/>
              <w:left w:type="dxa" w:w="120"/>
              <w:bottom w:type="dxa" w:w="100"/>
              <w:right w:type="dxa" w:w="120"/>
            </w:tcMar>
          </w:tcPr>
          <w:p>
            <w:r>
              <w:rPr>
                <w:b w:val="false"/>
                <w:bCs w:val="false"/>
                <w:color w:val="111827"/>
                <w:sz w:val="20"/>
                <w:szCs w:val="20"/>
              </w:rPr>
              <w:t xml:space="preserve">Org is on a plan that includes it and DNS is verified.</w:t>
            </w:r>
          </w:p>
        </w:tc>
      </w:tr>
      <w:tr>
        <w:tc>
          <w:tcPr>
            <w:tcW w:type="dxa" w:w="1600"/>
            <w:tcMar>
              <w:top w:type="dxa" w:w="100"/>
              <w:left w:type="dxa" w:w="120"/>
              <w:bottom w:type="dxa" w:w="100"/>
              <w:right w:type="dxa" w:w="120"/>
            </w:tcMar>
          </w:tcPr>
          <w:p>
            <w:r>
              <w:rPr>
                <w:b w:val="false"/>
                <w:bCs w:val="false"/>
                <w:color w:val="111827"/>
                <w:sz w:val="20"/>
                <w:szCs w:val="20"/>
              </w:rPr>
              <w:t xml:space="preserve">3</w:t>
            </w:r>
          </w:p>
        </w:tc>
        <w:tc>
          <w:tcPr>
            <w:tcW w:type="dxa" w:w="3600"/>
            <w:tcMar>
              <w:top w:type="dxa" w:w="100"/>
              <w:left w:type="dxa" w:w="120"/>
              <w:bottom w:type="dxa" w:w="100"/>
              <w:right w:type="dxa" w:w="120"/>
            </w:tcMar>
          </w:tcPr>
          <w:p>
            <w:r>
              <w:rPr>
                <w:b w:val="false"/>
                <w:bCs w:val="false"/>
                <w:color w:val="111827"/>
                <w:sz w:val="20"/>
                <w:szCs w:val="20"/>
              </w:rPr>
              <w:t xml:space="preserve">Shared platform domain, org-branded (Tier 1)</w:t>
            </w:r>
          </w:p>
        </w:tc>
        <w:tc>
          <w:tcPr>
            <w:tcW w:type="dxa" w:w="4300"/>
            <w:tcMar>
              <w:top w:type="dxa" w:w="100"/>
              <w:left w:type="dxa" w:w="120"/>
              <w:bottom w:type="dxa" w:w="100"/>
              <w:right w:type="dxa" w:w="120"/>
            </w:tcMar>
          </w:tcPr>
          <w:p>
            <w:r>
              <w:rPr>
                <w:b w:val="false"/>
                <w:bCs w:val="false"/>
                <w:color w:val="111827"/>
                <w:sz w:val="20"/>
                <w:szCs w:val="20"/>
              </w:rPr>
              <w:t xml:space="preserve">Default for every other org — new behavior this plan adds.</w:t>
            </w:r>
          </w:p>
        </w:tc>
      </w:tr>
      <w:tr>
        <w:tc>
          <w:tcPr>
            <w:tcW w:type="dxa" w:w="1600"/>
            <w:tcMar>
              <w:top w:type="dxa" w:w="100"/>
              <w:left w:type="dxa" w:w="120"/>
              <w:bottom w:type="dxa" w:w="100"/>
              <w:right w:type="dxa" w:w="120"/>
            </w:tcMar>
          </w:tcPr>
          <w:p>
            <w:r>
              <w:rPr>
                <w:b w:val="false"/>
                <w:bCs w:val="false"/>
                <w:color w:val="111827"/>
                <w:sz w:val="20"/>
                <w:szCs w:val="20"/>
              </w:rPr>
              <w:t xml:space="preserve">4</w:t>
            </w:r>
          </w:p>
        </w:tc>
        <w:tc>
          <w:tcPr>
            <w:tcW w:type="dxa" w:w="3600"/>
            <w:tcMar>
              <w:top w:type="dxa" w:w="100"/>
              <w:left w:type="dxa" w:w="120"/>
              <w:bottom w:type="dxa" w:w="100"/>
              <w:right w:type="dxa" w:w="120"/>
            </w:tcMar>
          </w:tcPr>
          <w:p>
            <w:r>
              <w:rPr>
                <w:b w:val="false"/>
                <w:bCs w:val="false"/>
                <w:color w:val="111827"/>
                <w:sz w:val="20"/>
                <w:szCs w:val="20"/>
              </w:rPr>
              <w:t xml:space="preserve">Platform SMTP fallback</w:t>
            </w:r>
          </w:p>
        </w:tc>
        <w:tc>
          <w:tcPr>
            <w:tcW w:type="dxa" w:w="4300"/>
            <w:tcMar>
              <w:top w:type="dxa" w:w="100"/>
              <w:left w:type="dxa" w:w="120"/>
              <w:bottom w:type="dxa" w:w="100"/>
              <w:right w:type="dxa" w:w="120"/>
            </w:tcMar>
          </w:tcPr>
          <w:p>
            <w:r>
              <w:rPr>
                <w:b w:val="false"/>
                <w:bCs w:val="false"/>
                <w:color w:val="111827"/>
                <w:sz w:val="20"/>
                <w:szCs w:val="20"/>
              </w:rPr>
              <w:t xml:space="preserve">Last resort if Resend itself is unreachable — existing behavior kept as-is.</w:t>
            </w:r>
          </w:p>
        </w:tc>
      </w:tr>
    </w:tbl>
    <w:p>
      <w:pPr>
        <w:spacing w:after="160"/>
      </w:pPr>
      <w:r>
        <w:t xml:space="preserve"/>
      </w:r>
    </w:p>
    <w:p>
      <w:pPr>
        <w:pStyle w:val="Heading1"/>
        <w:spacing w:after="160" w:before="320"/>
      </w:pPr>
      <w:r>
        <w:t xml:space="preserve">4. WhatsApp White-Labeling — Dedicated Number Per Org</w:t>
      </w:r>
    </w:p>
    <w:p>
      <w:pPr>
        <w:spacing w:after="160"/>
      </w:pPr>
      <w:r>
        <w:t xml:space="preserve">Chosen approach: every org gets its own WhatsApp Business number under the platform’s Meta Business Manager, so the customer’s own name and number are what the recipient actually sees — not a shared platform number. This is the real, Meta-sanctioned way WhatsApp resellers (Twilio, 360dialog, Gupshup, etc.) operate.</w:t>
      </w:r>
    </w:p>
    <w:p>
      <w:pPr>
        <w:pStyle w:val="Heading2"/>
        <w:spacing w:after="120" w:before="240"/>
      </w:pPr>
      <w:r>
        <w:t xml:space="preserve">How it works</w:t>
      </w:r>
    </w:p>
    <w:p>
      <w:pPr>
        <w:pStyle w:val="ListParagraph"/>
        <w:numPr>
          <w:ilvl w:val="0"/>
          <w:numId w:val="2"/>
        </w:numPr>
        <w:spacing w:after="80"/>
      </w:pPr>
      <w:r>
        <w:t xml:space="preserve">The platform becomes a WhatsApp "Tech Provider" / BSP reseller — either directly with Meta, or (much faster in practice) through an existing Business Solution Provider.</w:t>
      </w:r>
    </w:p>
    <w:p>
      <w:pPr>
        <w:pStyle w:val="ListParagraph"/>
        <w:numPr>
          <w:ilvl w:val="0"/>
          <w:numId w:val="2"/>
        </w:numPr>
        <w:spacing w:after="80"/>
      </w:pPr>
      <w:r>
        <w:t xml:space="preserve">Each org completes Meta’s "Embedded Signup" flow — a short hosted popup where their admin verifies their business and registers a phone number (a number they already own that gets migrated to WhatsApp, or a new number bought through the BSP).</w:t>
      </w:r>
    </w:p>
    <w:p>
      <w:pPr>
        <w:pStyle w:val="ListParagraph"/>
        <w:numPr>
          <w:ilvl w:val="0"/>
          <w:numId w:val="2"/>
        </w:numPr>
        <w:spacing w:after="80"/>
      </w:pPr>
      <w:r>
        <w:t xml:space="preserve">That creates the org’s own WhatsApp Business Account (WABA) and phone number, nested under the platform’s master Meta Business Manager — the platform controls billing and API access centrally, but each org’s messages are sent from, and replied to, their own number.</w:t>
      </w:r>
    </w:p>
    <w:p>
      <w:pPr>
        <w:pStyle w:val="ListParagraph"/>
        <w:numPr>
          <w:ilvl w:val="0"/>
          <w:numId w:val="2"/>
        </w:numPr>
        <w:spacing w:after="80"/>
      </w:pPr>
      <w:r>
        <w:t xml:space="preserve">Outbound business-initiated WhatsApp messages require pre-approved templates. The platform maintains a shared template library (birthday wish, follow-up, CSAT survey link, ticket update, portal link, campaign) and clones it into each new org’s WABA for one-click submission, so orgs are not writing templates from scratch.</w:t>
      </w:r>
    </w:p>
    <w:p>
      <w:pPr>
        <w:pStyle w:val="Heading2"/>
        <w:spacing w:after="120" w:before="240"/>
      </w:pPr>
      <w:r>
        <w:t xml:space="preserve">BSP / provider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shd w:fill="2563EB" w:val="clear"/>
            <w:tcMar>
              <w:top w:type="dxa" w:w="100"/>
              <w:left w:type="dxa" w:w="120"/>
              <w:bottom w:type="dxa" w:w="100"/>
              <w:right w:type="dxa" w:w="120"/>
            </w:tcMar>
          </w:tcPr>
          <w:p>
            <w:r>
              <w:rPr>
                <w:b/>
                <w:bCs/>
                <w:color w:val="FFFFFF"/>
                <w:sz w:val="20"/>
                <w:szCs w:val="20"/>
              </w:rPr>
              <w:t xml:space="preserve">Provider</w:t>
            </w:r>
          </w:p>
        </w:tc>
        <w:tc>
          <w:tcPr>
            <w:tcW w:type="dxa" w:w="2600"/>
            <w:shd w:fill="2563EB" w:val="clear"/>
            <w:tcMar>
              <w:top w:type="dxa" w:w="100"/>
              <w:left w:type="dxa" w:w="120"/>
              <w:bottom w:type="dxa" w:w="100"/>
              <w:right w:type="dxa" w:w="120"/>
            </w:tcMar>
          </w:tcPr>
          <w:p>
            <w:r>
              <w:rPr>
                <w:b/>
                <w:bCs/>
                <w:color w:val="FFFFFF"/>
                <w:sz w:val="20"/>
                <w:szCs w:val="20"/>
              </w:rPr>
              <w:t xml:space="preserve">Model</w:t>
            </w:r>
          </w:p>
        </w:tc>
        <w:tc>
          <w:tcPr>
            <w:tcW w:type="dxa" w:w="4700"/>
            <w:shd w:fill="2563EB" w:val="clear"/>
            <w:tcMar>
              <w:top w:type="dxa" w:w="100"/>
              <w:left w:type="dxa" w:w="120"/>
              <w:bottom w:type="dxa" w:w="100"/>
              <w:right w:type="dxa" w:w="120"/>
            </w:tcMar>
          </w:tcPr>
          <w:p>
            <w:r>
              <w:rPr>
                <w:b/>
                <w:bCs/>
                <w:color w:val="FFFFFF"/>
                <w:sz w:val="20"/>
                <w:szCs w:val="20"/>
              </w:rPr>
              <w:t xml:space="preserve">Notes</w:t>
            </w:r>
          </w:p>
        </w:tc>
      </w:tr>
      <w:tr>
        <w:tc>
          <w:tcPr>
            <w:tcW w:type="dxa" w:w="2200"/>
            <w:tcMar>
              <w:top w:type="dxa" w:w="100"/>
              <w:left w:type="dxa" w:w="120"/>
              <w:bottom w:type="dxa" w:w="100"/>
              <w:right w:type="dxa" w:w="120"/>
            </w:tcMar>
          </w:tcPr>
          <w:p>
            <w:r>
              <w:rPr>
                <w:b w:val="false"/>
                <w:bCs w:val="false"/>
                <w:color w:val="111827"/>
                <w:sz w:val="20"/>
                <w:szCs w:val="20"/>
              </w:rPr>
              <w:t xml:space="preserve">Twilio for Platforms (ISV)</w:t>
            </w:r>
          </w:p>
        </w:tc>
        <w:tc>
          <w:tcPr>
            <w:tcW w:type="dxa" w:w="2600"/>
            <w:tcMar>
              <w:top w:type="dxa" w:w="100"/>
              <w:left w:type="dxa" w:w="120"/>
              <w:bottom w:type="dxa" w:w="100"/>
              <w:right w:type="dxa" w:w="120"/>
            </w:tcMar>
          </w:tcPr>
          <w:p>
            <w:r>
              <w:rPr>
                <w:b w:val="false"/>
                <w:bCs w:val="false"/>
                <w:color w:val="111827"/>
                <w:sz w:val="20"/>
                <w:szCs w:val="20"/>
              </w:rPr>
              <w:t xml:space="preserve">Twilio is the BSP; sub-accounts per org</w:t>
            </w:r>
          </w:p>
        </w:tc>
        <w:tc>
          <w:tcPr>
            <w:tcW w:type="dxa" w:w="4700"/>
            <w:tcMar>
              <w:top w:type="dxa" w:w="100"/>
              <w:left w:type="dxa" w:w="120"/>
              <w:bottom w:type="dxa" w:w="100"/>
              <w:right w:type="dxa" w:w="120"/>
            </w:tcMar>
          </w:tcPr>
          <w:p>
            <w:r>
              <w:rPr>
                <w:b w:val="false"/>
                <w:bCs w:val="false"/>
                <w:color w:val="111827"/>
                <w:sz w:val="20"/>
                <w:szCs w:val="20"/>
              </w:rPr>
              <w:t xml:space="preserve">Codebase already speaks Twilio’s API (whatsapp.ts) — least code change. Twilio’s own markup on top of Meta’s conversation pricing.</w:t>
            </w:r>
          </w:p>
        </w:tc>
      </w:tr>
      <w:tr>
        <w:tc>
          <w:tcPr>
            <w:tcW w:type="dxa" w:w="2200"/>
            <w:tcMar>
              <w:top w:type="dxa" w:w="100"/>
              <w:left w:type="dxa" w:w="120"/>
              <w:bottom w:type="dxa" w:w="100"/>
              <w:right w:type="dxa" w:w="120"/>
            </w:tcMar>
          </w:tcPr>
          <w:p>
            <w:r>
              <w:rPr>
                <w:b w:val="false"/>
                <w:bCs w:val="false"/>
                <w:color w:val="111827"/>
                <w:sz w:val="20"/>
                <w:szCs w:val="20"/>
              </w:rPr>
              <w:t xml:space="preserve">360dialog Partner</w:t>
            </w:r>
          </w:p>
        </w:tc>
        <w:tc>
          <w:tcPr>
            <w:tcW w:type="dxa" w:w="2600"/>
            <w:tcMar>
              <w:top w:type="dxa" w:w="100"/>
              <w:left w:type="dxa" w:w="120"/>
              <w:bottom w:type="dxa" w:w="100"/>
              <w:right w:type="dxa" w:w="120"/>
            </w:tcMar>
          </w:tcPr>
          <w:p>
            <w:r>
              <w:rPr>
                <w:b w:val="false"/>
                <w:bCs w:val="false"/>
                <w:color w:val="111827"/>
                <w:sz w:val="20"/>
                <w:szCs w:val="20"/>
              </w:rPr>
              <w:t xml:space="preserve">WhatsApp-specialist BSP; WABAs per org</w:t>
            </w:r>
          </w:p>
        </w:tc>
        <w:tc>
          <w:tcPr>
            <w:tcW w:type="dxa" w:w="4700"/>
            <w:tcMar>
              <w:top w:type="dxa" w:w="100"/>
              <w:left w:type="dxa" w:w="120"/>
              <w:bottom w:type="dxa" w:w="100"/>
              <w:right w:type="dxa" w:w="120"/>
            </w:tcMar>
          </w:tcPr>
          <w:p>
            <w:r>
              <w:rPr>
                <w:b w:val="false"/>
                <w:bCs w:val="false"/>
                <w:color w:val="111827"/>
                <w:sz w:val="20"/>
                <w:szCs w:val="20"/>
              </w:rPr>
              <w:t xml:space="preserve">Often cheaper than Twilio at volume, no markup beyond a flat monthly per-number fee; less familiar API, more integration work.</w:t>
            </w:r>
          </w:p>
        </w:tc>
      </w:tr>
      <w:tr>
        <w:tc>
          <w:tcPr>
            <w:tcW w:type="dxa" w:w="2200"/>
            <w:tcMar>
              <w:top w:type="dxa" w:w="100"/>
              <w:left w:type="dxa" w:w="120"/>
              <w:bottom w:type="dxa" w:w="100"/>
              <w:right w:type="dxa" w:w="120"/>
            </w:tcMar>
          </w:tcPr>
          <w:p>
            <w:r>
              <w:rPr>
                <w:b w:val="false"/>
                <w:bCs w:val="false"/>
                <w:color w:val="111827"/>
                <w:sz w:val="20"/>
                <w:szCs w:val="20"/>
              </w:rPr>
              <w:t xml:space="preserve">Gupshup</w:t>
            </w:r>
          </w:p>
        </w:tc>
        <w:tc>
          <w:tcPr>
            <w:tcW w:type="dxa" w:w="2600"/>
            <w:tcMar>
              <w:top w:type="dxa" w:w="100"/>
              <w:left w:type="dxa" w:w="120"/>
              <w:bottom w:type="dxa" w:w="100"/>
              <w:right w:type="dxa" w:w="120"/>
            </w:tcMar>
          </w:tcPr>
          <w:p>
            <w:r>
              <w:rPr>
                <w:b w:val="false"/>
                <w:bCs w:val="false"/>
                <w:color w:val="111827"/>
                <w:sz w:val="20"/>
                <w:szCs w:val="20"/>
              </w:rPr>
              <w:t xml:space="preserve">Full-service BSP with template/campaign tooling built in</w:t>
            </w:r>
          </w:p>
        </w:tc>
        <w:tc>
          <w:tcPr>
            <w:tcW w:type="dxa" w:w="4700"/>
            <w:tcMar>
              <w:top w:type="dxa" w:w="100"/>
              <w:left w:type="dxa" w:w="120"/>
              <w:bottom w:type="dxa" w:w="100"/>
              <w:right w:type="dxa" w:w="120"/>
            </w:tcMar>
          </w:tcPr>
          <w:p>
            <w:r>
              <w:rPr>
                <w:b w:val="false"/>
                <w:bCs w:val="false"/>
                <w:color w:val="111827"/>
                <w:sz w:val="20"/>
                <w:szCs w:val="20"/>
              </w:rPr>
              <w:t xml:space="preserve">Good if you want to lean on their console rather than build one; less control over UX.</w:t>
            </w:r>
          </w:p>
        </w:tc>
      </w:tr>
      <w:tr>
        <w:tc>
          <w:tcPr>
            <w:tcW w:type="dxa" w:w="2200"/>
            <w:tcMar>
              <w:top w:type="dxa" w:w="100"/>
              <w:left w:type="dxa" w:w="120"/>
              <w:bottom w:type="dxa" w:w="100"/>
              <w:right w:type="dxa" w:w="120"/>
            </w:tcMar>
          </w:tcPr>
          <w:p>
            <w:r>
              <w:rPr>
                <w:b w:val="false"/>
                <w:bCs w:val="false"/>
                <w:color w:val="111827"/>
                <w:sz w:val="20"/>
                <w:szCs w:val="20"/>
              </w:rPr>
              <w:t xml:space="preserve">Meta Cloud API direct (Tech Provider)</w:t>
            </w:r>
          </w:p>
        </w:tc>
        <w:tc>
          <w:tcPr>
            <w:tcW w:type="dxa" w:w="2600"/>
            <w:tcMar>
              <w:top w:type="dxa" w:w="100"/>
              <w:left w:type="dxa" w:w="120"/>
              <w:bottom w:type="dxa" w:w="100"/>
              <w:right w:type="dxa" w:w="120"/>
            </w:tcMar>
          </w:tcPr>
          <w:p>
            <w:r>
              <w:rPr>
                <w:b w:val="false"/>
                <w:bCs w:val="false"/>
                <w:color w:val="111827"/>
                <w:sz w:val="20"/>
                <w:szCs w:val="20"/>
              </w:rPr>
              <w:t xml:space="preserve">Platform is the BSP itself, no middleman</w:t>
            </w:r>
          </w:p>
        </w:tc>
        <w:tc>
          <w:tcPr>
            <w:tcW w:type="dxa" w:w="4700"/>
            <w:tcMar>
              <w:top w:type="dxa" w:w="100"/>
              <w:left w:type="dxa" w:w="120"/>
              <w:bottom w:type="dxa" w:w="100"/>
              <w:right w:type="dxa" w:w="120"/>
            </w:tcMar>
          </w:tcPr>
          <w:p>
            <w:r>
              <w:rPr>
                <w:b w:val="false"/>
                <w:bCs w:val="false"/>
                <w:color w:val="111827"/>
                <w:sz w:val="20"/>
                <w:szCs w:val="20"/>
              </w:rPr>
              <w:t xml:space="preserve">Lowest per-message cost long-term; highest setup burden (Meta Tech Provider approval, more infra to run and secure).</w:t>
            </w:r>
          </w:p>
        </w:tc>
      </w:tr>
    </w:tbl>
    <w:p>
      <w:pPr>
        <w:spacing w:after="160"/>
      </w:pPr>
      <w:r>
        <w:t xml:space="preserve">Recommendation: start with Twilio for Platforms given the existing Twilio integration, and re-evaluate 360dialog or a direct Meta Tech Provider once volume justifies the switch.</w:t>
      </w:r>
    </w:p>
    <w:p>
      <w:pPr>
        <w:pStyle w:val="Heading1"/>
        <w:spacing w:after="160" w:before="320"/>
      </w:pPr>
      <w:r>
        <w:t xml:space="preserve">5. Licensing &amp; the "One Account" Structure</w:t>
      </w:r>
    </w:p>
    <w:p>
      <w:pPr>
        <w:spacing w:after="160"/>
      </w:pPr>
      <w:r>
        <w:t xml:space="preserve">"One account to handle it all" actually means two different things, both addressed here:</w:t>
      </w:r>
    </w:p>
    <w:p>
      <w:pPr>
        <w:pStyle w:val="Heading2"/>
        <w:spacing w:after="120" w:before="240"/>
      </w:pPr>
      <w:r>
        <w:t xml:space="preserve">A. Master infrastructure accounts (the licenses)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200"/>
      </w:tblGrid>
      <w:tr>
        <w:trPr>
          <w:tblHeader/>
        </w:trPr>
        <w:tc>
          <w:tcPr>
            <w:tcW w:type="dxa" w:w="3000"/>
            <w:shd w:fill="2563EB" w:val="clear"/>
            <w:tcMar>
              <w:top w:type="dxa" w:w="100"/>
              <w:left w:type="dxa" w:w="120"/>
              <w:bottom w:type="dxa" w:w="100"/>
              <w:right w:type="dxa" w:w="120"/>
            </w:tcMar>
          </w:tcPr>
          <w:p>
            <w:r>
              <w:rPr>
                <w:b/>
                <w:bCs/>
                <w:color w:val="FFFFFF"/>
                <w:sz w:val="20"/>
                <w:szCs w:val="20"/>
              </w:rPr>
              <w:t xml:space="preserve">Account</w:t>
            </w:r>
          </w:p>
        </w:tc>
        <w:tc>
          <w:tcPr>
            <w:tcW w:type="dxa" w:w="2300"/>
            <w:shd w:fill="2563EB" w:val="clear"/>
            <w:tcMar>
              <w:top w:type="dxa" w:w="100"/>
              <w:left w:type="dxa" w:w="120"/>
              <w:bottom w:type="dxa" w:w="100"/>
              <w:right w:type="dxa" w:w="120"/>
            </w:tcMar>
          </w:tcPr>
          <w:p>
            <w:r>
              <w:rPr>
                <w:b/>
                <w:bCs/>
                <w:color w:val="FFFFFF"/>
                <w:sz w:val="20"/>
                <w:szCs w:val="20"/>
              </w:rPr>
              <w:t xml:space="preserve">Owner</w:t>
            </w:r>
          </w:p>
        </w:tc>
        <w:tc>
          <w:tcPr>
            <w:tcW w:type="dxa" w:w="4200"/>
            <w:shd w:fill="2563EB" w:val="clear"/>
            <w:tcMar>
              <w:top w:type="dxa" w:w="100"/>
              <w:left w:type="dxa" w:w="120"/>
              <w:bottom w:type="dxa" w:w="100"/>
              <w:right w:type="dxa" w:w="120"/>
            </w:tcMar>
          </w:tcPr>
          <w:p>
            <w:r>
              <w:rPr>
                <w:b/>
                <w:bCs/>
                <w:color w:val="FFFFFF"/>
                <w:sz w:val="20"/>
                <w:szCs w:val="20"/>
              </w:rPr>
              <w:t xml:space="preserve">Houses</w:t>
            </w:r>
          </w:p>
        </w:tc>
      </w:tr>
      <w:tr>
        <w:tc>
          <w:tcPr>
            <w:tcW w:type="dxa" w:w="3000"/>
            <w:tcMar>
              <w:top w:type="dxa" w:w="100"/>
              <w:left w:type="dxa" w:w="120"/>
              <w:bottom w:type="dxa" w:w="100"/>
              <w:right w:type="dxa" w:w="120"/>
            </w:tcMar>
          </w:tcPr>
          <w:p>
            <w:r>
              <w:rPr>
                <w:b w:val="false"/>
                <w:bCs w:val="false"/>
                <w:color w:val="111827"/>
                <w:sz w:val="20"/>
                <w:szCs w:val="20"/>
              </w:rPr>
              <w:t xml:space="preserve">Meta Business Manager</w:t>
            </w:r>
          </w:p>
        </w:tc>
        <w:tc>
          <w:tcPr>
            <w:tcW w:type="dxa" w:w="2300"/>
            <w:tcMar>
              <w:top w:type="dxa" w:w="100"/>
              <w:left w:type="dxa" w:w="120"/>
              <w:bottom w:type="dxa" w:w="100"/>
              <w:right w:type="dxa" w:w="120"/>
            </w:tcMar>
          </w:tcPr>
          <w:p>
            <w:r>
              <w:rPr>
                <w:b w:val="false"/>
                <w:bCs w:val="false"/>
                <w:color w:val="111827"/>
                <w:sz w:val="20"/>
                <w:szCs w:val="20"/>
              </w:rPr>
              <w:t xml:space="preserve">Platform legal entity</w:t>
            </w:r>
          </w:p>
        </w:tc>
        <w:tc>
          <w:tcPr>
            <w:tcW w:type="dxa" w:w="4200"/>
            <w:tcMar>
              <w:top w:type="dxa" w:w="100"/>
              <w:left w:type="dxa" w:w="120"/>
              <w:bottom w:type="dxa" w:w="100"/>
              <w:right w:type="dxa" w:w="120"/>
            </w:tcMar>
          </w:tcPr>
          <w:p>
            <w:r>
              <w:rPr>
                <w:b w:val="false"/>
                <w:bCs w:val="false"/>
                <w:color w:val="111827"/>
                <w:sz w:val="20"/>
                <w:szCs w:val="20"/>
              </w:rPr>
              <w:t xml:space="preserve">Every org’s WhatsApp Business Account (WABA), nested underneath as children.</w:t>
            </w:r>
          </w:p>
        </w:tc>
      </w:tr>
      <w:tr>
        <w:tc>
          <w:tcPr>
            <w:tcW w:type="dxa" w:w="3000"/>
            <w:tcMar>
              <w:top w:type="dxa" w:w="100"/>
              <w:left w:type="dxa" w:w="120"/>
              <w:bottom w:type="dxa" w:w="100"/>
              <w:right w:type="dxa" w:w="120"/>
            </w:tcMar>
          </w:tcPr>
          <w:p>
            <w:r>
              <w:rPr>
                <w:b w:val="false"/>
                <w:bCs w:val="false"/>
                <w:color w:val="111827"/>
                <w:sz w:val="20"/>
                <w:szCs w:val="20"/>
              </w:rPr>
              <w:t xml:space="preserve">Twilio primary / BSP partner account</w:t>
            </w:r>
          </w:p>
        </w:tc>
        <w:tc>
          <w:tcPr>
            <w:tcW w:type="dxa" w:w="2300"/>
            <w:tcMar>
              <w:top w:type="dxa" w:w="100"/>
              <w:left w:type="dxa" w:w="120"/>
              <w:bottom w:type="dxa" w:w="100"/>
              <w:right w:type="dxa" w:w="120"/>
            </w:tcMar>
          </w:tcPr>
          <w:p>
            <w:r>
              <w:rPr>
                <w:b w:val="false"/>
                <w:bCs w:val="false"/>
                <w:color w:val="111827"/>
                <w:sz w:val="20"/>
                <w:szCs w:val="20"/>
              </w:rPr>
              <w:t xml:space="preserve">Platform legal entity</w:t>
            </w:r>
          </w:p>
        </w:tc>
        <w:tc>
          <w:tcPr>
            <w:tcW w:type="dxa" w:w="4200"/>
            <w:tcMar>
              <w:top w:type="dxa" w:w="100"/>
              <w:left w:type="dxa" w:w="120"/>
              <w:bottom w:type="dxa" w:w="100"/>
              <w:right w:type="dxa" w:w="120"/>
            </w:tcMar>
          </w:tcPr>
          <w:p>
            <w:r>
              <w:rPr>
                <w:b w:val="false"/>
                <w:bCs w:val="false"/>
                <w:color w:val="111827"/>
                <w:sz w:val="20"/>
                <w:szCs w:val="20"/>
              </w:rPr>
              <w:t xml:space="preserve">Per-org WhatsApp sub-accounts or WABA IDs; consolidated billing.</w:t>
            </w:r>
          </w:p>
        </w:tc>
      </w:tr>
      <w:tr>
        <w:tc>
          <w:tcPr>
            <w:tcW w:type="dxa" w:w="3000"/>
            <w:tcMar>
              <w:top w:type="dxa" w:w="100"/>
              <w:left w:type="dxa" w:w="120"/>
              <w:bottom w:type="dxa" w:w="100"/>
              <w:right w:type="dxa" w:w="120"/>
            </w:tcMar>
          </w:tcPr>
          <w:p>
            <w:r>
              <w:rPr>
                <w:b w:val="false"/>
                <w:bCs w:val="false"/>
                <w:color w:val="111827"/>
                <w:sz w:val="20"/>
                <w:szCs w:val="20"/>
              </w:rPr>
              <w:t xml:space="preserve">Resend (or SES/Postmark) account</w:t>
            </w:r>
          </w:p>
        </w:tc>
        <w:tc>
          <w:tcPr>
            <w:tcW w:type="dxa" w:w="2300"/>
            <w:tcMar>
              <w:top w:type="dxa" w:w="100"/>
              <w:left w:type="dxa" w:w="120"/>
              <w:bottom w:type="dxa" w:w="100"/>
              <w:right w:type="dxa" w:w="120"/>
            </w:tcMar>
          </w:tcPr>
          <w:p>
            <w:r>
              <w:rPr>
                <w:b w:val="false"/>
                <w:bCs w:val="false"/>
                <w:color w:val="111827"/>
                <w:sz w:val="20"/>
                <w:szCs w:val="20"/>
              </w:rPr>
              <w:t xml:space="preserve">Platform legal entity</w:t>
            </w:r>
          </w:p>
        </w:tc>
        <w:tc>
          <w:tcPr>
            <w:tcW w:type="dxa" w:w="4200"/>
            <w:tcMar>
              <w:top w:type="dxa" w:w="100"/>
              <w:left w:type="dxa" w:w="120"/>
              <w:bottom w:type="dxa" w:w="100"/>
              <w:right w:type="dxa" w:w="120"/>
            </w:tcMar>
          </w:tcPr>
          <w:p>
            <w:r>
              <w:rPr>
                <w:b w:val="false"/>
                <w:bCs w:val="false"/>
                <w:color w:val="111827"/>
                <w:sz w:val="20"/>
                <w:szCs w:val="20"/>
              </w:rPr>
              <w:t xml:space="preserve">The shared platform sending domain (Tier 1) plus every org’s verified subdomain (Tier 2).</w:t>
            </w:r>
          </w:p>
        </w:tc>
      </w:tr>
      <w:tr>
        <w:tc>
          <w:tcPr>
            <w:tcW w:type="dxa" w:w="3000"/>
            <w:tcMar>
              <w:top w:type="dxa" w:w="100"/>
              <w:left w:type="dxa" w:w="120"/>
              <w:bottom w:type="dxa" w:w="100"/>
              <w:right w:type="dxa" w:w="120"/>
            </w:tcMar>
          </w:tcPr>
          <w:p>
            <w:r>
              <w:rPr>
                <w:b w:val="false"/>
                <w:bCs w:val="false"/>
                <w:color w:val="111827"/>
                <w:sz w:val="20"/>
                <w:szCs w:val="20"/>
              </w:rPr>
              <w:t xml:space="preserve">Stripe account</w:t>
            </w:r>
          </w:p>
        </w:tc>
        <w:tc>
          <w:tcPr>
            <w:tcW w:type="dxa" w:w="2300"/>
            <w:tcMar>
              <w:top w:type="dxa" w:w="100"/>
              <w:left w:type="dxa" w:w="120"/>
              <w:bottom w:type="dxa" w:w="100"/>
              <w:right w:type="dxa" w:w="120"/>
            </w:tcMar>
          </w:tcPr>
          <w:p>
            <w:r>
              <w:rPr>
                <w:b w:val="false"/>
                <w:bCs w:val="false"/>
                <w:color w:val="111827"/>
                <w:sz w:val="20"/>
                <w:szCs w:val="20"/>
              </w:rPr>
              <w:t xml:space="preserve">Platform legal entity (already in use)</w:t>
            </w:r>
          </w:p>
        </w:tc>
        <w:tc>
          <w:tcPr>
            <w:tcW w:type="dxa" w:w="4200"/>
            <w:tcMar>
              <w:top w:type="dxa" w:w="100"/>
              <w:left w:type="dxa" w:w="120"/>
              <w:bottom w:type="dxa" w:w="100"/>
              <w:right w:type="dxa" w:w="120"/>
            </w:tcMar>
          </w:tcPr>
          <w:p>
            <w:r>
              <w:rPr>
                <w:b w:val="false"/>
                <w:bCs w:val="false"/>
                <w:color w:val="111827"/>
                <w:sz w:val="20"/>
                <w:szCs w:val="20"/>
              </w:rPr>
              <w:t xml:space="preserve">Organization.plan / Subscription — ties sending tier entitlement to what the org pays for.</w:t>
            </w:r>
          </w:p>
        </w:tc>
      </w:tr>
    </w:tbl>
    <w:p>
      <w:pPr>
        <w:spacing w:after="160"/>
      </w:pPr>
      <w:r>
        <w:t xml:space="preserve"/>
      </w:r>
    </w:p>
    <w:p>
      <w:pPr>
        <w:spacing w:after="160"/>
      </w:pPr>
      <w:r>
        <w:t xml:space="preserve">These are business/billing accounts, not something you log into inside the app — they are configured once via env vars and provider dashboards (API keys, webhook secrets), the same pattern already used for RESEND_API_KEY and the org-level Twilio credentials.</w:t>
      </w:r>
    </w:p>
    <w:p>
      <w:pPr>
        <w:pStyle w:val="Heading2"/>
        <w:spacing w:after="120" w:before="240"/>
      </w:pPr>
      <w:r>
        <w:t xml:space="preserve">B. The Platform Admin login (built this session)</w:t>
      </w:r>
    </w:p>
    <w:p>
      <w:pPr>
        <w:spacing w:after="160"/>
      </w:pPr>
      <w:r>
        <w:t xml:space="preserve">This is the actual "one account where you can see all orgs’ data, license, and connection details" you asked for. It did not exist before today — every login in the system was scoped to a single org. What was added:</w:t>
      </w:r>
    </w:p>
    <w:p>
      <w:pPr>
        <w:pStyle w:val="ListParagraph"/>
        <w:numPr>
          <w:ilvl w:val="0"/>
          <w:numId w:val="2"/>
        </w:numPr>
        <w:spacing w:after="80"/>
      </w:pPr>
      <w:r>
        <w:t xml:space="preserve">A new PLATFORM_ADMIN role, not tied to any Organization (schema.prisma UserRole enum + migration).</w:t>
      </w:r>
    </w:p>
    <w:p>
      <w:pPr>
        <w:pStyle w:val="ListParagraph"/>
        <w:numPr>
          <w:ilvl w:val="0"/>
          <w:numId w:val="2"/>
        </w:numPr>
        <w:spacing w:after="80"/>
      </w:pPr>
      <w:r>
        <w:t xml:space="preserve">A protected API module (server/src/modules/platform-admin) exposing every org’s plan/subscription, branding, email-sending connection status, and WhatsApp-sending connection status — secrets like SMTP passwords and Twilio auth tokens are never returned, only connection status and non-secret identifiers.</w:t>
      </w:r>
    </w:p>
    <w:p>
      <w:pPr>
        <w:pStyle w:val="ListParagraph"/>
        <w:numPr>
          <w:ilvl w:val="0"/>
          <w:numId w:val="2"/>
        </w:numPr>
        <w:spacing w:after="80"/>
      </w:pPr>
      <w:r>
        <w:t xml:space="preserve">A standalone console at /platform-admin (client/src/pages/PlatformAdminPage.tsx): a table of every org with plan, seats, renewal date, email/WhatsApp connection badges, and user/contact/ticket counts, plus a detail panel per org with the full staff list.</w:t>
      </w:r>
    </w:p>
    <w:p>
      <w:pPr>
        <w:pStyle w:val="ListParagraph"/>
        <w:numPr>
          <w:ilvl w:val="0"/>
          <w:numId w:val="2"/>
        </w:numPr>
        <w:spacing w:after="80"/>
      </w:pPr>
      <w:r>
        <w:t xml:space="preserve">Logging in as this account routes straight to the console and never shows the regular org-scoped app — it is a separate, cross-org view by design.</w:t>
      </w:r>
    </w:p>
    <w:p>
      <w:pPr>
        <w:spacing w:after="160"/>
      </w:pPr>
      <w:r>
        <w:t xml:space="preserve">See Section 7 for how to create your first Platform Admin login on the live deployment.</w:t>
      </w:r>
    </w:p>
    <w:p>
      <w:pPr>
        <w:pStyle w:val="Heading1"/>
        <w:spacing w:after="160" w:before="320"/>
      </w:pPr>
      <w:r>
        <w:t xml:space="preserve">6. Compliance, Cost &amp; Timeline Notes</w:t>
      </w:r>
    </w:p>
    <w:p>
      <w:pPr>
        <w:pStyle w:val="ListParagraph"/>
        <w:numPr>
          <w:ilvl w:val="0"/>
          <w:numId w:val="2"/>
        </w:numPr>
        <w:spacing w:after="80"/>
      </w:pPr>
      <w:r>
        <w:t xml:space="preserve">Meta requires business verification per org (legal business name, address, sometimes a document upload) before a WABA can send — budget a few days per org for approval, longer if Meta requests more documentation.</w:t>
      </w:r>
    </w:p>
    <w:p>
      <w:pPr>
        <w:pStyle w:val="ListParagraph"/>
        <w:numPr>
          <w:ilvl w:val="0"/>
          <w:numId w:val="2"/>
        </w:numPr>
        <w:spacing w:after="80"/>
      </w:pPr>
      <w:r>
        <w:t xml:space="preserve">WhatsApp charges Meta’s per-conversation, category-based pricing (marketing / utility / authentication / service conversations each priced differently) on top of whatever your BSP adds — decide up front whether to pass this through per-org or bundle it into subscription pricing tiers.</w:t>
      </w:r>
    </w:p>
    <w:p>
      <w:pPr>
        <w:pStyle w:val="ListParagraph"/>
        <w:numPr>
          <w:ilvl w:val="0"/>
          <w:numId w:val="2"/>
        </w:numPr>
        <w:spacing w:after="80"/>
      </w:pPr>
      <w:r>
        <w:t xml:space="preserve">Display-name review: Meta reviews the business name shown as the WhatsApp sender identity — generic or unverifiable names can be rejected, so set expectations with orgs during onboarding.</w:t>
      </w:r>
    </w:p>
    <w:p>
      <w:pPr>
        <w:pStyle w:val="ListParagraph"/>
        <w:numPr>
          <w:ilvl w:val="0"/>
          <w:numId w:val="2"/>
        </w:numPr>
        <w:spacing w:after="80"/>
      </w:pPr>
      <w:r>
        <w:t xml:space="preserve">Email domain verification (SPF/DKIM) is free and usually fast, but DNS propagation can occasionally take up to 48 hours — surface a clear "pending verification" state in the org’s branding settings rather than failing silently.</w:t>
      </w:r>
    </w:p>
    <w:p>
      <w:pPr>
        <w:pStyle w:val="ListParagraph"/>
        <w:numPr>
          <w:ilvl w:val="0"/>
          <w:numId w:val="2"/>
        </w:numPr>
        <w:spacing w:after="80"/>
      </w:pPr>
      <w:r>
        <w:t xml:space="preserve">None of this requires new spend to start Phase 1 below — it only requires the Resend account and Twilio/BSP relationship already in use today.</w:t>
      </w:r>
    </w:p>
    <w:p>
      <w:pPr>
        <w:pStyle w:val="Heading1"/>
        <w:spacing w:after="160" w:before="320"/>
      </w:pPr>
      <w:r>
        <w:t xml:space="preserve">7. Phased Rollout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2300"/>
      </w:tblGrid>
      <w:tr>
        <w:trPr>
          <w:tblHeader/>
        </w:trPr>
        <w:tc>
          <w:tcPr>
            <w:tcW w:type="dxa" w:w="1000"/>
            <w:shd w:fill="2563EB" w:val="clear"/>
            <w:tcMar>
              <w:top w:type="dxa" w:w="100"/>
              <w:left w:type="dxa" w:w="120"/>
              <w:bottom w:type="dxa" w:w="100"/>
              <w:right w:type="dxa" w:w="120"/>
            </w:tcMar>
          </w:tcPr>
          <w:p>
            <w:r>
              <w:rPr>
                <w:b/>
                <w:bCs/>
                <w:color w:val="FFFFFF"/>
                <w:sz w:val="20"/>
                <w:szCs w:val="20"/>
              </w:rPr>
              <w:t xml:space="preserve">Phase</w:t>
            </w:r>
          </w:p>
        </w:tc>
        <w:tc>
          <w:tcPr>
            <w:tcW w:type="dxa" w:w="6300"/>
            <w:shd w:fill="2563EB" w:val="clear"/>
            <w:tcMar>
              <w:top w:type="dxa" w:w="100"/>
              <w:left w:type="dxa" w:w="120"/>
              <w:bottom w:type="dxa" w:w="100"/>
              <w:right w:type="dxa" w:w="120"/>
            </w:tcMar>
          </w:tcPr>
          <w:p>
            <w:r>
              <w:rPr>
                <w:b/>
                <w:bCs/>
                <w:color w:val="FFFFFF"/>
                <w:sz w:val="20"/>
                <w:szCs w:val="20"/>
              </w:rPr>
              <w:t xml:space="preserve">Deliverable</w:t>
            </w:r>
          </w:p>
        </w:tc>
        <w:tc>
          <w:tcPr>
            <w:tcW w:type="dxa" w:w="2300"/>
            <w:shd w:fill="2563EB" w:val="clear"/>
            <w:tcMar>
              <w:top w:type="dxa" w:w="100"/>
              <w:left w:type="dxa" w:w="120"/>
              <w:bottom w:type="dxa" w:w="100"/>
              <w:right w:type="dxa" w:w="120"/>
            </w:tcMar>
          </w:tcPr>
          <w:p>
            <w:r>
              <w:rPr>
                <w:b/>
                <w:bCs/>
                <w:color w:val="FFFFFF"/>
                <w:sz w:val="20"/>
                <w:szCs w:val="20"/>
              </w:rPr>
              <w:t xml:space="preserve">Status</w:t>
            </w:r>
          </w:p>
        </w:tc>
      </w:tr>
      <w:tr>
        <w:tc>
          <w:tcPr>
            <w:tcW w:type="dxa" w:w="1000"/>
            <w:tcMar>
              <w:top w:type="dxa" w:w="100"/>
              <w:left w:type="dxa" w:w="120"/>
              <w:bottom w:type="dxa" w:w="100"/>
              <w:right w:type="dxa" w:w="120"/>
            </w:tcMar>
          </w:tcPr>
          <w:p>
            <w:r>
              <w:rPr>
                <w:b w:val="false"/>
                <w:bCs w:val="false"/>
                <w:color w:val="111827"/>
                <w:sz w:val="20"/>
                <w:szCs w:val="20"/>
              </w:rPr>
              <w:t xml:space="preserve">1</w:t>
            </w:r>
          </w:p>
        </w:tc>
        <w:tc>
          <w:tcPr>
            <w:tcW w:type="dxa" w:w="6300"/>
            <w:tcMar>
              <w:top w:type="dxa" w:w="100"/>
              <w:left w:type="dxa" w:w="120"/>
              <w:bottom w:type="dxa" w:w="100"/>
              <w:right w:type="dxa" w:w="120"/>
            </w:tcMar>
          </w:tcPr>
          <w:p>
            <w:r>
              <w:rPr>
                <w:b w:val="false"/>
                <w:bCs w:val="false"/>
                <w:color w:val="111827"/>
                <w:sz w:val="20"/>
                <w:szCs w:val="20"/>
              </w:rPr>
              <w:t xml:space="preserve">Platform Admin console — visibility into every org’s current plan/branding/connection status</w:t>
            </w:r>
          </w:p>
        </w:tc>
        <w:tc>
          <w:tcPr>
            <w:tcW w:type="dxa" w:w="2300"/>
            <w:tcMar>
              <w:top w:type="dxa" w:w="100"/>
              <w:left w:type="dxa" w:w="120"/>
              <w:bottom w:type="dxa" w:w="100"/>
              <w:right w:type="dxa" w:w="120"/>
            </w:tcMar>
          </w:tcPr>
          <w:p>
            <w:r>
              <w:rPr>
                <w:b w:val="false"/>
                <w:bCs w:val="false"/>
                <w:color w:val="111827"/>
                <w:sz w:val="20"/>
                <w:szCs w:val="20"/>
              </w:rPr>
              <w:t xml:space="preserve">Done this session</w:t>
            </w:r>
          </w:p>
        </w:tc>
      </w:tr>
      <w:tr>
        <w:tc>
          <w:tcPr>
            <w:tcW w:type="dxa" w:w="1000"/>
            <w:tcMar>
              <w:top w:type="dxa" w:w="100"/>
              <w:left w:type="dxa" w:w="120"/>
              <w:bottom w:type="dxa" w:w="100"/>
              <w:right w:type="dxa" w:w="120"/>
            </w:tcMar>
          </w:tcPr>
          <w:p>
            <w:r>
              <w:rPr>
                <w:b w:val="false"/>
                <w:bCs w:val="false"/>
                <w:color w:val="111827"/>
                <w:sz w:val="20"/>
                <w:szCs w:val="20"/>
              </w:rPr>
              <w:t xml:space="preserve">2</w:t>
            </w:r>
          </w:p>
        </w:tc>
        <w:tc>
          <w:tcPr>
            <w:tcW w:type="dxa" w:w="6300"/>
            <w:tcMar>
              <w:top w:type="dxa" w:w="100"/>
              <w:left w:type="dxa" w:w="120"/>
              <w:bottom w:type="dxa" w:w="100"/>
              <w:right w:type="dxa" w:w="120"/>
            </w:tcMar>
          </w:tcPr>
          <w:p>
            <w:r>
              <w:rPr>
                <w:b w:val="false"/>
                <w:bCs w:val="false"/>
                <w:color w:val="111827"/>
                <w:sz w:val="20"/>
                <w:szCs w:val="20"/>
              </w:rPr>
              <w:t xml:space="preserve">Email Tier 1 — shared platform domain, org-branded From/Reply-To/template (extends existing mailer.ts, no new accounts needed)</w:t>
            </w:r>
          </w:p>
        </w:tc>
        <w:tc>
          <w:tcPr>
            <w:tcW w:type="dxa" w:w="2300"/>
            <w:tcMar>
              <w:top w:type="dxa" w:w="100"/>
              <w:left w:type="dxa" w:w="120"/>
              <w:bottom w:type="dxa" w:w="100"/>
              <w:right w:type="dxa" w:w="120"/>
            </w:tcMar>
          </w:tcPr>
          <w:p>
            <w:r>
              <w:rPr>
                <w:b w:val="false"/>
                <w:bCs w:val="false"/>
                <w:color w:val="111827"/>
                <w:sz w:val="20"/>
                <w:szCs w:val="20"/>
              </w:rPr>
              <w:t xml:space="preserve">Next — recommended first build</w:t>
            </w:r>
          </w:p>
        </w:tc>
      </w:tr>
      <w:tr>
        <w:tc>
          <w:tcPr>
            <w:tcW w:type="dxa" w:w="1000"/>
            <w:tcMar>
              <w:top w:type="dxa" w:w="100"/>
              <w:left w:type="dxa" w:w="120"/>
              <w:bottom w:type="dxa" w:w="100"/>
              <w:right w:type="dxa" w:w="120"/>
            </w:tcMar>
          </w:tcPr>
          <w:p>
            <w:r>
              <w:rPr>
                <w:b w:val="false"/>
                <w:bCs w:val="false"/>
                <w:color w:val="111827"/>
                <w:sz w:val="20"/>
                <w:szCs w:val="20"/>
              </w:rPr>
              <w:t xml:space="preserve">3</w:t>
            </w:r>
          </w:p>
        </w:tc>
        <w:tc>
          <w:tcPr>
            <w:tcW w:type="dxa" w:w="6300"/>
            <w:tcMar>
              <w:top w:type="dxa" w:w="100"/>
              <w:left w:type="dxa" w:w="120"/>
              <w:bottom w:type="dxa" w:w="100"/>
              <w:right w:type="dxa" w:w="120"/>
            </w:tcMar>
          </w:tcPr>
          <w:p>
            <w:r>
              <w:rPr>
                <w:b w:val="false"/>
                <w:bCs w:val="false"/>
                <w:color w:val="111827"/>
                <w:sz w:val="20"/>
                <w:szCs w:val="20"/>
              </w:rPr>
              <w:t xml:space="preserve">Email Tier 2 — per-org verified subdomains via Resend Domains API + DNS-instructions UI</w:t>
            </w:r>
          </w:p>
        </w:tc>
        <w:tc>
          <w:tcPr>
            <w:tcW w:type="dxa" w:w="2300"/>
            <w:tcMar>
              <w:top w:type="dxa" w:w="100"/>
              <w:left w:type="dxa" w:w="120"/>
              <w:bottom w:type="dxa" w:w="100"/>
              <w:right w:type="dxa" w:w="120"/>
            </w:tcMar>
          </w:tcPr>
          <w:p>
            <w:r>
              <w:rPr>
                <w:b w:val="false"/>
                <w:bCs w:val="false"/>
                <w:color w:val="111827"/>
                <w:sz w:val="20"/>
                <w:szCs w:val="20"/>
              </w:rPr>
              <w:t xml:space="preserve">After Phase 2</w:t>
            </w:r>
          </w:p>
        </w:tc>
      </w:tr>
      <w:tr>
        <w:tc>
          <w:tcPr>
            <w:tcW w:type="dxa" w:w="1000"/>
            <w:tcMar>
              <w:top w:type="dxa" w:w="100"/>
              <w:left w:type="dxa" w:w="120"/>
              <w:bottom w:type="dxa" w:w="100"/>
              <w:right w:type="dxa" w:w="120"/>
            </w:tcMar>
          </w:tcPr>
          <w:p>
            <w:r>
              <w:rPr>
                <w:b w:val="false"/>
                <w:bCs w:val="false"/>
                <w:color w:val="111827"/>
                <w:sz w:val="20"/>
                <w:szCs w:val="20"/>
              </w:rPr>
              <w:t xml:space="preserve">4</w:t>
            </w:r>
          </w:p>
        </w:tc>
        <w:tc>
          <w:tcPr>
            <w:tcW w:type="dxa" w:w="6300"/>
            <w:tcMar>
              <w:top w:type="dxa" w:w="100"/>
              <w:left w:type="dxa" w:w="120"/>
              <w:bottom w:type="dxa" w:w="100"/>
              <w:right w:type="dxa" w:w="120"/>
            </w:tcMar>
          </w:tcPr>
          <w:p>
            <w:r>
              <w:rPr>
                <w:b w:val="false"/>
                <w:bCs w:val="false"/>
                <w:color w:val="111827"/>
                <w:sz w:val="20"/>
                <w:szCs w:val="20"/>
              </w:rPr>
              <w:t xml:space="preserve">WhatsApp BSP selection &amp; partner application (business decision + paperwork, 1–4 week lead time)</w:t>
            </w:r>
          </w:p>
        </w:tc>
        <w:tc>
          <w:tcPr>
            <w:tcW w:type="dxa" w:w="2300"/>
            <w:tcMar>
              <w:top w:type="dxa" w:w="100"/>
              <w:left w:type="dxa" w:w="120"/>
              <w:bottom w:type="dxa" w:w="100"/>
              <w:right w:type="dxa" w:w="120"/>
            </w:tcMar>
          </w:tcPr>
          <w:p>
            <w:r>
              <w:rPr>
                <w:b w:val="false"/>
                <w:bCs w:val="false"/>
                <w:color w:val="111827"/>
                <w:sz w:val="20"/>
                <w:szCs w:val="20"/>
              </w:rPr>
              <w:t xml:space="preserve">Can start in parallel with Phase 2–3</w:t>
            </w:r>
          </w:p>
        </w:tc>
      </w:tr>
      <w:tr>
        <w:tc>
          <w:tcPr>
            <w:tcW w:type="dxa" w:w="1000"/>
            <w:tcMar>
              <w:top w:type="dxa" w:w="100"/>
              <w:left w:type="dxa" w:w="120"/>
              <w:bottom w:type="dxa" w:w="100"/>
              <w:right w:type="dxa" w:w="120"/>
            </w:tcMar>
          </w:tcPr>
          <w:p>
            <w:r>
              <w:rPr>
                <w:b w:val="false"/>
                <w:bCs w:val="false"/>
                <w:color w:val="111827"/>
                <w:sz w:val="20"/>
                <w:szCs w:val="20"/>
              </w:rPr>
              <w:t xml:space="preserve">5</w:t>
            </w:r>
          </w:p>
        </w:tc>
        <w:tc>
          <w:tcPr>
            <w:tcW w:type="dxa" w:w="6300"/>
            <w:tcMar>
              <w:top w:type="dxa" w:w="100"/>
              <w:left w:type="dxa" w:w="120"/>
              <w:bottom w:type="dxa" w:w="100"/>
              <w:right w:type="dxa" w:w="120"/>
            </w:tcMar>
          </w:tcPr>
          <w:p>
            <w:r>
              <w:rPr>
                <w:b w:val="false"/>
                <w:bCs w:val="false"/>
                <w:color w:val="111827"/>
                <w:sz w:val="20"/>
                <w:szCs w:val="20"/>
              </w:rPr>
              <w:t xml:space="preserve">WhatsApp embedded signup UI + per-org WABA provisioning + shared template library</w:t>
            </w:r>
          </w:p>
        </w:tc>
        <w:tc>
          <w:tcPr>
            <w:tcW w:type="dxa" w:w="2300"/>
            <w:tcMar>
              <w:top w:type="dxa" w:w="100"/>
              <w:left w:type="dxa" w:w="120"/>
              <w:bottom w:type="dxa" w:w="100"/>
              <w:right w:type="dxa" w:w="120"/>
            </w:tcMar>
          </w:tcPr>
          <w:p>
            <w:r>
              <w:rPr>
                <w:b w:val="false"/>
                <w:bCs w:val="false"/>
                <w:color w:val="111827"/>
                <w:sz w:val="20"/>
                <w:szCs w:val="20"/>
              </w:rPr>
              <w:t xml:space="preserve">After Phase 4 approval</w:t>
            </w:r>
          </w:p>
        </w:tc>
      </w:tr>
    </w:tbl>
    <w:p>
      <w:pPr>
        <w:pStyle w:val="Heading1"/>
        <w:spacing w:after="160" w:before="320"/>
      </w:pPr>
      <w:r>
        <w:t xml:space="preserve">8. Creating Your Platform Admin Login</w:t>
      </w:r>
    </w:p>
    <w:p>
      <w:pPr>
        <w:spacing w:after="160"/>
      </w:pPr>
      <w:r>
        <w:t xml:space="preserve">The bootstrap endpoint is disabled by default — it only responds once PLATFORM_BOOTSTRAP_SECRET is set as an env var on the server (Render → crm-itdesk-server → Environment). Set any long random string there, then call it once:</w:t>
      </w:r>
    </w:p>
    <w:p>
      <w:pPr>
        <w:shd w:fill="1F2937" w:val="clear"/>
        <w:spacing w:after="240" w:before="120"/>
      </w:pPr>
      <w:r>
        <w:rPr>
          <w:rFonts w:ascii="Courier New" w:cs="Courier New" w:eastAsia="Courier New" w:hAnsi="Courier New"/>
          <w:color w:val="D1FAE5"/>
          <w:sz w:val="18"/>
          <w:szCs w:val="18"/>
        </w:rPr>
        <w:t xml:space="preserve">curl -X POST https://crm-itdesk-server.onrender.com/api/platform/bootstrap \
  -H "x-platform-bootstrap-secret: &lt;your secret&gt;" \
  -H "Content-Type: application/json" \
  -d '{"email":"you@yourcompany.com","password":"&lt;a strong password&gt;","name":"Your Name"}'</w:t>
      </w:r>
    </w:p>
    <w:p>
      <w:pPr>
        <w:spacing w:after="160"/>
      </w:pPr>
      <w:r>
        <w:t xml:space="preserve">Then sign in at the normal login page with that email/password — you’ll land on /platform-admin automatically. Re-running the same call later (e.g. to reset the password) is safe; it updates the existing account by email rather than creating a duplicate.</w:t>
      </w:r>
    </w:p>
    <w:p>
      <w:pPr>
        <w:spacing w:after="160"/>
      </w:pPr>
      <w:r>
        <w:rPr>
          <w:i/>
          <w:iCs/>
          <w:color w:val="6B7280"/>
        </w:rPr>
        <w:t xml:space="preserve">Keep PLATFORM_BOOTSTRAP_SECRET private going forward — anyone who has it can create a platform-admin account.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2026-08-04T14:24:54.319Z</dcterms:created>
  <dcterms:modified xsi:type="dcterms:W3CDTF">2026-08-04T14:24:54.341Z</dcterms:modified>
</cp:coreProperties>
</file>

<file path=docProps/custom.xml><?xml version="1.0" encoding="utf-8"?>
<Properties xmlns="http://schemas.openxmlformats.org/officeDocument/2006/custom-properties" xmlns:vt="http://schemas.openxmlformats.org/officeDocument/2006/docPropsVTypes"/>
</file>