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2563EB"/>
          <w:sz w:val="60"/>
          <w:szCs w:val="60"/>
        </w:rPr>
        <w:t xml:space="preserve">CRMITdesk Evolved</w:t>
      </w:r>
    </w:p>
    <w:p>
      <w:pPr>
        <w:spacing w:after="0" w:before="200"/>
        <w:jc w:val="center"/>
      </w:pPr>
      <w:r>
        <w:rPr>
          <w:color w:val="374151"/>
          <w:sz w:val="32"/>
          <w:szCs w:val="32"/>
        </w:rPr>
        <w:t xml:space="preserve">Complete Technical &amp; Feature Documentation</w:t>
      </w:r>
    </w:p>
    <w:p>
      <w:pPr>
        <w:spacing w:after="0" w:before="120"/>
        <w:jc w:val="center"/>
      </w:pPr>
      <w:r>
        <w:rPr>
          <w:i/>
          <w:iCs/>
          <w:color w:val="6B7280"/>
          <w:sz w:val="24"/>
          <w:szCs w:val="24"/>
        </w:rPr>
        <w:t xml:space="preserve">Unified CRM &amp; IT Help Desk Platform</w:t>
      </w:r>
    </w:p>
    <w:p>
      <w:pPr>
        <w:spacing w:after="0" w:before="800"/>
        <w:jc w:val="center"/>
      </w:pPr>
      <w:r>
        <w:rPr>
          <w:color w:val="4B5563"/>
          <w:sz w:val="20"/>
          <w:szCs w:val="20"/>
        </w:rPr>
        <w:t xml:space="preserve">Covers system architecture, every product module and feature, the full database schema, the REST API surface, and known implementation gaps.</w:t>
      </w:r>
    </w:p>
    <w:p>
      <w:pPr>
        <w:spacing w:after="0" w:before="2400"/>
        <w:jc w:val="center"/>
      </w:pPr>
      <w:r>
        <w:rPr>
          <w:color w:val="6B7280"/>
          <w:sz w:val="18"/>
          <w:szCs w:val="18"/>
        </w:rPr>
        <w:t xml:space="preserve">Generated July 23, 2026</w:t>
      </w:r>
    </w:p>
    <w:p>
      <w:r>
        <w:br w:type="page"/>
      </w:r>
    </w:p>
    <w:p>
      <w:pPr>
        <w:pStyle w:val="Heading1"/>
        <w:pBdr>
          <w:bottom w:val="single" w:color="2563EB" w:sz="12" w:space="4"/>
        </w:pBdr>
        <w:spacing w:after="240" w:before="480"/>
      </w:pPr>
      <w:r>
        <w:rPr>
          <w:b/>
          <w:bCs/>
          <w:color w:val="1F293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12" w:space="4"/>
        </w:pBdr>
        <w:spacing w:after="240" w:before="480"/>
      </w:pPr>
      <w:r>
        <w:rPr>
          <w:b/>
          <w:bCs/>
          <w:color w:val="1F2937"/>
          <w:sz w:val="32"/>
          <w:szCs w:val="32"/>
        </w:rPr>
        <w:t xml:space="preserve">1. Overview &amp; Architecture</w:t>
      </w:r>
    </w:p>
    <w:p>
      <w:pPr>
        <w:pStyle w:val="Heading2"/>
        <w:spacing w:after="160" w:before="360"/>
      </w:pPr>
      <w:r>
        <w:rPr>
          <w:b/>
          <w:bCs/>
          <w:color w:val="1F2937"/>
          <w:sz w:val="26"/>
          <w:szCs w:val="26"/>
        </w:rPr>
        <w:t xml:space="preserve">1.1 What the Platform Is</w:t>
      </w:r>
    </w:p>
    <w:p>
      <w:pPr>
        <w:spacing w:after="160" w:line="288"/>
      </w:pPr>
      <w:r>
        <w:rPr>
          <w:sz w:val="21"/>
          <w:szCs w:val="21"/>
        </w:rPr>
        <w:t xml:space="preserve">CRMITdesk Evolved is a single, multi-tenant web application that fuses two traditionally separate product categories into one system: a CRM (sales pipeline, contacts, accounts, leads, deals, quotes, campaigns) and an IT Help Desk (ticketing, SLA management, knowledge base, asset inventory, change management). Every organization that signs up gets its own isolated tenant; all staff, records, and configuration are scoped to that organization. On top of the core CRM/ITSM functionality, the platform layers a substantial AI feature set (Groq/OpenAI-backed), a no-code workflow automation engine, an omnichannel unified inbox (email + WhatsApp), and a customer-facing self-service portal.</w:t>
      </w:r>
    </w:p>
    <w:p>
      <w:pPr>
        <w:pStyle w:val="Heading2"/>
        <w:spacing w:after="160" w:before="360"/>
      </w:pPr>
      <w:r>
        <w:rPr>
          <w:b/>
          <w:bCs/>
          <w:color w:val="1F2937"/>
          <w:sz w:val="26"/>
          <w:szCs w:val="26"/>
        </w:rPr>
        <w:t xml:space="preserve">1.2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00"/>
      </w:tblGrid>
      <w:tr>
        <w:trPr>
          <w:tblHeader/>
        </w:trPr>
        <w:tc>
          <w:tcPr>
            <w:tcW w:type="dxa" w:w="1900"/>
            <w:shd w:fill="E5E7EB" w:val="clear"/>
            <w:tcMar>
              <w:top w:type="dxa" w:w="60"/>
              <w:left w:type="dxa" w:w="100"/>
              <w:bottom w:type="dxa" w:w="60"/>
              <w:right w:type="dxa" w:w="100"/>
            </w:tcMar>
            <w:vAlign w:val="center"/>
          </w:tcPr>
          <w:p>
            <w:pPr>
              <w:jc w:val="left"/>
            </w:pPr>
            <w:r>
              <w:rPr>
                <w:b/>
                <w:bCs/>
                <w:color w:val="111827"/>
                <w:sz w:val="18"/>
                <w:szCs w:val="18"/>
              </w:rPr>
              <w:t xml:space="preserve">Layer</w:t>
            </w:r>
          </w:p>
        </w:tc>
        <w:tc>
          <w:tcPr>
            <w:tcW w:type="dxa" w:w="3900"/>
            <w:shd w:fill="E5E7EB" w:val="clear"/>
            <w:tcMar>
              <w:top w:type="dxa" w:w="60"/>
              <w:left w:type="dxa" w:w="100"/>
              <w:bottom w:type="dxa" w:w="60"/>
              <w:right w:type="dxa" w:w="100"/>
            </w:tcMar>
            <w:vAlign w:val="center"/>
          </w:tcPr>
          <w:p>
            <w:pPr>
              <w:jc w:val="left"/>
            </w:pPr>
            <w:r>
              <w:rPr>
                <w:b/>
                <w:bCs/>
                <w:color w:val="111827"/>
                <w:sz w:val="18"/>
                <w:szCs w:val="18"/>
              </w:rPr>
              <w:t xml:space="preserve">Technology</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Notes</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Frontend</w:t>
            </w:r>
          </w:p>
        </w:tc>
        <w:tc>
          <w:tcPr>
            <w:tcW w:type="dxa" w:w="3900"/>
            <w:tcMar>
              <w:top w:type="dxa" w:w="60"/>
              <w:left w:type="dxa" w:w="100"/>
              <w:bottom w:type="dxa" w:w="60"/>
              <w:right w:type="dxa" w:w="100"/>
            </w:tcMar>
            <w:vAlign w:val="center"/>
          </w:tcPr>
          <w:p>
            <w:pPr>
              <w:jc w:val="left"/>
            </w:pPr>
            <w:r>
              <w:rPr>
                <w:b w:val="false"/>
                <w:bCs w:val="false"/>
                <w:sz w:val="18"/>
                <w:szCs w:val="18"/>
              </w:rPr>
              <w:t xml:space="preserve">React 18 + TypeScript + Vite</w:t>
            </w:r>
          </w:p>
        </w:tc>
        <w:tc>
          <w:tcPr>
            <w:tcW w:type="dxa" w:w="3800"/>
            <w:tcMar>
              <w:top w:type="dxa" w:w="60"/>
              <w:left w:type="dxa" w:w="100"/>
              <w:bottom w:type="dxa" w:w="60"/>
              <w:right w:type="dxa" w:w="100"/>
            </w:tcMar>
            <w:vAlign w:val="center"/>
          </w:tcPr>
          <w:p>
            <w:pPr>
              <w:jc w:val="left"/>
            </w:pPr>
            <w:r>
              <w:rPr>
                <w:b w:val="false"/>
                <w:bCs w:val="false"/>
                <w:sz w:val="18"/>
                <w:szCs w:val="18"/>
              </w:rPr>
              <w:t xml:space="preserve">Code-split routes via React.lazy(); built with Vite 5</w:t>
            </w:r>
          </w:p>
        </w:tc>
      </w:tr>
      <w:tr>
        <w:tc>
          <w:tcPr>
            <w:tcW w:type="dxa" w:w="1900"/>
            <w:shd w:fill="F9FAFB" w:val="clear"/>
            <w:tcMar>
              <w:top w:type="dxa" w:w="60"/>
              <w:left w:type="dxa" w:w="100"/>
              <w:bottom w:type="dxa" w:w="60"/>
              <w:right w:type="dxa" w:w="100"/>
            </w:tcMar>
            <w:vAlign w:val="center"/>
          </w:tcPr>
          <w:p>
            <w:pPr>
              <w:jc w:val="left"/>
            </w:pPr>
            <w:r>
              <w:rPr>
                <w:b w:val="false"/>
                <w:bCs w:val="false"/>
                <w:sz w:val="18"/>
                <w:szCs w:val="18"/>
              </w:rPr>
              <w:t xml:space="preserve">Styling</w:t>
            </w:r>
          </w:p>
        </w:tc>
        <w:tc>
          <w:tcPr>
            <w:tcW w:type="dxa" w:w="3900"/>
            <w:shd w:fill="F9FAFB" w:val="clear"/>
            <w:tcMar>
              <w:top w:type="dxa" w:w="60"/>
              <w:left w:type="dxa" w:w="100"/>
              <w:bottom w:type="dxa" w:w="60"/>
              <w:right w:type="dxa" w:w="100"/>
            </w:tcMar>
            <w:vAlign w:val="center"/>
          </w:tcPr>
          <w:p>
            <w:pPr>
              <w:jc w:val="left"/>
            </w:pPr>
            <w:r>
              <w:rPr>
                <w:b w:val="false"/>
                <w:bCs w:val="false"/>
                <w:sz w:val="18"/>
                <w:szCs w:val="18"/>
              </w:rPr>
              <w:t xml:space="preserve">Tailwind CSS 3</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Utility classes plus a CSS-variable theming layer for UI chrome style/font</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Frontend data layer</w:t>
            </w:r>
          </w:p>
        </w:tc>
        <w:tc>
          <w:tcPr>
            <w:tcW w:type="dxa" w:w="3900"/>
            <w:tcMar>
              <w:top w:type="dxa" w:w="60"/>
              <w:left w:type="dxa" w:w="100"/>
              <w:bottom w:type="dxa" w:w="60"/>
              <w:right w:type="dxa" w:w="100"/>
            </w:tcMar>
            <w:vAlign w:val="center"/>
          </w:tcPr>
          <w:p>
            <w:pPr>
              <w:jc w:val="left"/>
            </w:pPr>
            <w:r>
              <w:rPr>
                <w:b w:val="false"/>
                <w:bCs w:val="false"/>
                <w:sz w:val="18"/>
                <w:szCs w:val="18"/>
              </w:rPr>
              <w:t xml:space="preserve">TanStack (React) Query 5 + Axios</w:t>
            </w:r>
          </w:p>
        </w:tc>
        <w:tc>
          <w:tcPr>
            <w:tcW w:type="dxa" w:w="3800"/>
            <w:tcMar>
              <w:top w:type="dxa" w:w="60"/>
              <w:left w:type="dxa" w:w="100"/>
              <w:bottom w:type="dxa" w:w="60"/>
              <w:right w:type="dxa" w:w="100"/>
            </w:tcMar>
            <w:vAlign w:val="center"/>
          </w:tcPr>
          <w:p>
            <w:pPr>
              <w:jc w:val="left"/>
            </w:pPr>
            <w:r>
              <w:rPr>
                <w:b w:val="false"/>
                <w:bCs w:val="false"/>
                <w:sz w:val="18"/>
                <w:szCs w:val="18"/>
              </w:rPr>
              <w:t xml:space="preserve">staleTime 30s, gcTime 5min, retry 1</w:t>
            </w:r>
          </w:p>
        </w:tc>
      </w:tr>
      <w:tr>
        <w:tc>
          <w:tcPr>
            <w:tcW w:type="dxa" w:w="1900"/>
            <w:shd w:fill="F9FAFB" w:val="clear"/>
            <w:tcMar>
              <w:top w:type="dxa" w:w="60"/>
              <w:left w:type="dxa" w:w="100"/>
              <w:bottom w:type="dxa" w:w="60"/>
              <w:right w:type="dxa" w:w="100"/>
            </w:tcMar>
            <w:vAlign w:val="center"/>
          </w:tcPr>
          <w:p>
            <w:pPr>
              <w:jc w:val="left"/>
            </w:pPr>
            <w:r>
              <w:rPr>
                <w:b w:val="false"/>
                <w:bCs w:val="false"/>
                <w:sz w:val="18"/>
                <w:szCs w:val="18"/>
              </w:rPr>
              <w:t xml:space="preserve">Routing</w:t>
            </w:r>
          </w:p>
        </w:tc>
        <w:tc>
          <w:tcPr>
            <w:tcW w:type="dxa" w:w="3900"/>
            <w:shd w:fill="F9FAFB" w:val="clear"/>
            <w:tcMar>
              <w:top w:type="dxa" w:w="60"/>
              <w:left w:type="dxa" w:w="100"/>
              <w:bottom w:type="dxa" w:w="60"/>
              <w:right w:type="dxa" w:w="100"/>
            </w:tcMar>
            <w:vAlign w:val="center"/>
          </w:tcPr>
          <w:p>
            <w:pPr>
              <w:jc w:val="left"/>
            </w:pPr>
            <w:r>
              <w:rPr>
                <w:b w:val="false"/>
                <w:bCs w:val="false"/>
                <w:sz w:val="18"/>
                <w:szCs w:val="18"/>
              </w:rPr>
              <w:t xml:space="preserve">React Router 6</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Single SPA route tree; portal is a separate unauthenticated route branch</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Charts</w:t>
            </w:r>
          </w:p>
        </w:tc>
        <w:tc>
          <w:tcPr>
            <w:tcW w:type="dxa" w:w="3900"/>
            <w:tcMar>
              <w:top w:type="dxa" w:w="60"/>
              <w:left w:type="dxa" w:w="100"/>
              <w:bottom w:type="dxa" w:w="60"/>
              <w:right w:type="dxa" w:w="100"/>
            </w:tcMar>
            <w:vAlign w:val="center"/>
          </w:tcPr>
          <w:p>
            <w:pPr>
              <w:jc w:val="left"/>
            </w:pPr>
            <w:r>
              <w:rPr>
                <w:b w:val="false"/>
                <w:bCs w:val="false"/>
                <w:sz w:val="18"/>
                <w:szCs w:val="18"/>
              </w:rPr>
              <w:t xml:space="preserve">Recharts 2</w:t>
            </w:r>
          </w:p>
        </w:tc>
        <w:tc>
          <w:tcPr>
            <w:tcW w:type="dxa" w:w="3800"/>
            <w:tcMar>
              <w:top w:type="dxa" w:w="60"/>
              <w:left w:type="dxa" w:w="100"/>
              <w:bottom w:type="dxa" w:w="60"/>
              <w:right w:type="dxa" w:w="100"/>
            </w:tcMar>
            <w:vAlign w:val="center"/>
          </w:tcPr>
          <w:p>
            <w:pPr>
              <w:jc w:val="left"/>
            </w:pPr>
            <w:r>
              <w:rPr>
                <w:b w:val="false"/>
                <w:bCs w:val="false"/>
                <w:sz w:val="18"/>
                <w:szCs w:val="18"/>
              </w:rPr>
              <w:t xml:space="preserve">Analytics, Reports, and dashboard widgets</w:t>
            </w:r>
          </w:p>
        </w:tc>
      </w:tr>
      <w:tr>
        <w:tc>
          <w:tcPr>
            <w:tcW w:type="dxa" w:w="1900"/>
            <w:shd w:fill="F9FAFB" w:val="clear"/>
            <w:tcMar>
              <w:top w:type="dxa" w:w="60"/>
              <w:left w:type="dxa" w:w="100"/>
              <w:bottom w:type="dxa" w:w="60"/>
              <w:right w:type="dxa" w:w="100"/>
            </w:tcMar>
            <w:vAlign w:val="center"/>
          </w:tcPr>
          <w:p>
            <w:pPr>
              <w:jc w:val="left"/>
            </w:pPr>
            <w:r>
              <w:rPr>
                <w:b w:val="false"/>
                <w:bCs w:val="false"/>
                <w:sz w:val="18"/>
                <w:szCs w:val="18"/>
              </w:rPr>
              <w:t xml:space="preserve">Drag &amp; drop</w:t>
            </w:r>
          </w:p>
        </w:tc>
        <w:tc>
          <w:tcPr>
            <w:tcW w:type="dxa" w:w="3900"/>
            <w:shd w:fill="F9FAFB" w:val="clear"/>
            <w:tcMar>
              <w:top w:type="dxa" w:w="60"/>
              <w:left w:type="dxa" w:w="100"/>
              <w:bottom w:type="dxa" w:w="60"/>
              <w:right w:type="dxa" w:w="100"/>
            </w:tcMar>
            <w:vAlign w:val="center"/>
          </w:tcPr>
          <w:p>
            <w:pPr>
              <w:jc w:val="left"/>
            </w:pPr>
            <w:r>
              <w:rPr>
                <w:b w:val="false"/>
                <w:bCs w:val="false"/>
                <w:sz w:val="18"/>
                <w:szCs w:val="18"/>
              </w:rPr>
              <w:t xml:space="preserve">@dnd-kit / native HTML5 DnD</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Deals Kanban pipeline board</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Backend</w:t>
            </w:r>
          </w:p>
        </w:tc>
        <w:tc>
          <w:tcPr>
            <w:tcW w:type="dxa" w:w="3900"/>
            <w:tcMar>
              <w:top w:type="dxa" w:w="60"/>
              <w:left w:type="dxa" w:w="100"/>
              <w:bottom w:type="dxa" w:w="60"/>
              <w:right w:type="dxa" w:w="100"/>
            </w:tcMar>
            <w:vAlign w:val="center"/>
          </w:tcPr>
          <w:p>
            <w:pPr>
              <w:jc w:val="left"/>
            </w:pPr>
            <w:r>
              <w:rPr>
                <w:b w:val="false"/>
                <w:bCs w:val="false"/>
                <w:sz w:val="18"/>
                <w:szCs w:val="18"/>
              </w:rPr>
              <w:t xml:space="preserve">Node.js + Express 4 + TypeScript</w:t>
            </w:r>
          </w:p>
        </w:tc>
        <w:tc>
          <w:tcPr>
            <w:tcW w:type="dxa" w:w="3800"/>
            <w:tcMar>
              <w:top w:type="dxa" w:w="60"/>
              <w:left w:type="dxa" w:w="100"/>
              <w:bottom w:type="dxa" w:w="60"/>
              <w:right w:type="dxa" w:w="100"/>
            </w:tcMar>
            <w:vAlign w:val="center"/>
          </w:tcPr>
          <w:p>
            <w:pPr>
              <w:jc w:val="left"/>
            </w:pPr>
            <w:r>
              <w:rPr>
                <w:b w:val="false"/>
                <w:bCs w:val="false"/>
                <w:sz w:val="18"/>
                <w:szCs w:val="18"/>
              </w:rPr>
              <w:t xml:space="preserve">REST API, ts-node-dev in development, compiled with tsc for production</w:t>
            </w:r>
          </w:p>
        </w:tc>
      </w:tr>
      <w:tr>
        <w:tc>
          <w:tcPr>
            <w:tcW w:type="dxa" w:w="1900"/>
            <w:shd w:fill="F9FAFB" w:val="clear"/>
            <w:tcMar>
              <w:top w:type="dxa" w:w="60"/>
              <w:left w:type="dxa" w:w="100"/>
              <w:bottom w:type="dxa" w:w="60"/>
              <w:right w:type="dxa" w:w="100"/>
            </w:tcMar>
            <w:vAlign w:val="center"/>
          </w:tcPr>
          <w:p>
            <w:pPr>
              <w:jc w:val="left"/>
            </w:pPr>
            <w:r>
              <w:rPr>
                <w:b w:val="false"/>
                <w:bCs w:val="false"/>
                <w:sz w:val="18"/>
                <w:szCs w:val="18"/>
              </w:rPr>
              <w:t xml:space="preserve">ORM / Database</w:t>
            </w:r>
          </w:p>
        </w:tc>
        <w:tc>
          <w:tcPr>
            <w:tcW w:type="dxa" w:w="3900"/>
            <w:shd w:fill="F9FAFB" w:val="clear"/>
            <w:tcMar>
              <w:top w:type="dxa" w:w="60"/>
              <w:left w:type="dxa" w:w="100"/>
              <w:bottom w:type="dxa" w:w="60"/>
              <w:right w:type="dxa" w:w="100"/>
            </w:tcMar>
            <w:vAlign w:val="center"/>
          </w:tcPr>
          <w:p>
            <w:pPr>
              <w:jc w:val="left"/>
            </w:pPr>
            <w:r>
              <w:rPr>
                <w:b w:val="false"/>
                <w:bCs w:val="false"/>
                <w:sz w:val="18"/>
                <w:szCs w:val="18"/>
              </w:rPr>
              <w:t xml:space="preserve">Prisma 5 + PostgreSQL 15/16</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Schema-first models, migration-based deploys</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Auth</w:t>
            </w:r>
          </w:p>
        </w:tc>
        <w:tc>
          <w:tcPr>
            <w:tcW w:type="dxa" w:w="3900"/>
            <w:tcMar>
              <w:top w:type="dxa" w:w="60"/>
              <w:left w:type="dxa" w:w="100"/>
              <w:bottom w:type="dxa" w:w="60"/>
              <w:right w:type="dxa" w:w="100"/>
            </w:tcMar>
            <w:vAlign w:val="center"/>
          </w:tcPr>
          <w:p>
            <w:pPr>
              <w:jc w:val="left"/>
            </w:pPr>
            <w:r>
              <w:rPr>
                <w:b w:val="false"/>
                <w:bCs w:val="false"/>
                <w:sz w:val="18"/>
                <w:szCs w:val="18"/>
              </w:rPr>
              <w:t xml:space="preserve">JWT (jsonwebtoken) + bcryptjs</w:t>
            </w:r>
          </w:p>
        </w:tc>
        <w:tc>
          <w:tcPr>
            <w:tcW w:type="dxa" w:w="3800"/>
            <w:tcMar>
              <w:top w:type="dxa" w:w="60"/>
              <w:left w:type="dxa" w:w="100"/>
              <w:bottom w:type="dxa" w:w="60"/>
              <w:right w:type="dxa" w:w="100"/>
            </w:tcMar>
            <w:vAlign w:val="center"/>
          </w:tcPr>
          <w:p>
            <w:pPr>
              <w:jc w:val="left"/>
            </w:pPr>
            <w:r>
              <w:rPr>
                <w:b w:val="false"/>
                <w:bCs w:val="false"/>
                <w:sz w:val="18"/>
                <w:szCs w:val="18"/>
              </w:rPr>
              <w:t xml:space="preserve">Two independent JWT schemes — staff and customer portal (see 1.5)</w:t>
            </w:r>
          </w:p>
        </w:tc>
      </w:tr>
      <w:tr>
        <w:tc>
          <w:tcPr>
            <w:tcW w:type="dxa" w:w="1900"/>
            <w:shd w:fill="F9FAFB" w:val="clear"/>
            <w:tcMar>
              <w:top w:type="dxa" w:w="60"/>
              <w:left w:type="dxa" w:w="100"/>
              <w:bottom w:type="dxa" w:w="60"/>
              <w:right w:type="dxa" w:w="100"/>
            </w:tcMar>
            <w:vAlign w:val="center"/>
          </w:tcPr>
          <w:p>
            <w:pPr>
              <w:jc w:val="left"/>
            </w:pPr>
            <w:r>
              <w:rPr>
                <w:b w:val="false"/>
                <w:bCs w:val="false"/>
                <w:sz w:val="18"/>
                <w:szCs w:val="18"/>
              </w:rPr>
              <w:t xml:space="preserve">Validation</w:t>
            </w:r>
          </w:p>
        </w:tc>
        <w:tc>
          <w:tcPr>
            <w:tcW w:type="dxa" w:w="3900"/>
            <w:shd w:fill="F9FAFB" w:val="clear"/>
            <w:tcMar>
              <w:top w:type="dxa" w:w="60"/>
              <w:left w:type="dxa" w:w="100"/>
              <w:bottom w:type="dxa" w:w="60"/>
              <w:right w:type="dxa" w:w="100"/>
            </w:tcMar>
            <w:vAlign w:val="center"/>
          </w:tcPr>
          <w:p>
            <w:pPr>
              <w:jc w:val="left"/>
            </w:pPr>
            <w:r>
              <w:rPr>
                <w:b w:val="false"/>
                <w:bCs w:val="false"/>
                <w:sz w:val="18"/>
                <w:szCs w:val="18"/>
              </w:rPr>
              <w:t xml:space="preserve">Zod (shared on client and server)</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Request body schemas per route</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Real-time</w:t>
            </w:r>
          </w:p>
        </w:tc>
        <w:tc>
          <w:tcPr>
            <w:tcW w:type="dxa" w:w="3900"/>
            <w:tcMar>
              <w:top w:type="dxa" w:w="60"/>
              <w:left w:type="dxa" w:w="100"/>
              <w:bottom w:type="dxa" w:w="60"/>
              <w:right w:type="dxa" w:w="100"/>
            </w:tcMar>
            <w:vAlign w:val="center"/>
          </w:tcPr>
          <w:p>
            <w:pPr>
              <w:jc w:val="left"/>
            </w:pPr>
            <w:r>
              <w:rPr>
                <w:b w:val="false"/>
                <w:bCs w:val="false"/>
                <w:sz w:val="18"/>
                <w:szCs w:val="18"/>
              </w:rPr>
              <w:t xml:space="preserve">Server-Sent Events (native, no library)</w:t>
            </w:r>
          </w:p>
        </w:tc>
        <w:tc>
          <w:tcPr>
            <w:tcW w:type="dxa" w:w="3800"/>
            <w:tcMar>
              <w:top w:type="dxa" w:w="60"/>
              <w:left w:type="dxa" w:w="100"/>
              <w:bottom w:type="dxa" w:w="60"/>
              <w:right w:type="dxa" w:w="100"/>
            </w:tcMar>
            <w:vAlign w:val="center"/>
          </w:tcPr>
          <w:p>
            <w:pPr>
              <w:jc w:val="left"/>
            </w:pPr>
            <w:r>
              <w:rPr>
                <w:b w:val="false"/>
                <w:bCs w:val="false"/>
                <w:sz w:val="18"/>
                <w:szCs w:val="18"/>
              </w:rPr>
              <w:t xml:space="preserve">No WebSockets; see 1.6</w:t>
            </w:r>
          </w:p>
        </w:tc>
      </w:tr>
      <w:tr>
        <w:tc>
          <w:tcPr>
            <w:tcW w:type="dxa" w:w="1900"/>
            <w:shd w:fill="F9FAFB" w:val="clear"/>
            <w:tcMar>
              <w:top w:type="dxa" w:w="60"/>
              <w:left w:type="dxa" w:w="100"/>
              <w:bottom w:type="dxa" w:w="60"/>
              <w:right w:type="dxa" w:w="100"/>
            </w:tcMar>
            <w:vAlign w:val="center"/>
          </w:tcPr>
          <w:p>
            <w:pPr>
              <w:jc w:val="left"/>
            </w:pPr>
            <w:r>
              <w:rPr>
                <w:b w:val="false"/>
                <w:bCs w:val="false"/>
                <w:sz w:val="18"/>
                <w:szCs w:val="18"/>
              </w:rPr>
              <w:t xml:space="preserve">Email</w:t>
            </w:r>
          </w:p>
        </w:tc>
        <w:tc>
          <w:tcPr>
            <w:tcW w:type="dxa" w:w="3900"/>
            <w:shd w:fill="F9FAFB" w:val="clear"/>
            <w:tcMar>
              <w:top w:type="dxa" w:w="60"/>
              <w:left w:type="dxa" w:w="100"/>
              <w:bottom w:type="dxa" w:w="60"/>
              <w:right w:type="dxa" w:w="100"/>
            </w:tcMar>
            <w:vAlign w:val="center"/>
          </w:tcPr>
          <w:p>
            <w:pPr>
              <w:jc w:val="left"/>
            </w:pPr>
            <w:r>
              <w:rPr>
                <w:b w:val="false"/>
                <w:bCs w:val="false"/>
                <w:sz w:val="18"/>
                <w:szCs w:val="18"/>
              </w:rPr>
              <w:t xml:space="preserve">Nodemailer (SMTP) + ImapFlow/mailparser (IMAP)</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Per-org connected mailbox, polled every 5 minutes</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WhatsApp</w:t>
            </w:r>
          </w:p>
        </w:tc>
        <w:tc>
          <w:tcPr>
            <w:tcW w:type="dxa" w:w="3900"/>
            <w:tcMar>
              <w:top w:type="dxa" w:w="60"/>
              <w:left w:type="dxa" w:w="100"/>
              <w:bottom w:type="dxa" w:w="60"/>
              <w:right w:type="dxa" w:w="100"/>
            </w:tcMar>
            <w:vAlign w:val="center"/>
          </w:tcPr>
          <w:p>
            <w:pPr>
              <w:jc w:val="left"/>
            </w:pPr>
            <w:r>
              <w:rPr>
                <w:b w:val="false"/>
                <w:bCs w:val="false"/>
                <w:sz w:val="18"/>
                <w:szCs w:val="18"/>
              </w:rPr>
              <w:t xml:space="preserve">Twilio (hand-rolled REST client for sending, webhook for receiving)</w:t>
            </w:r>
          </w:p>
        </w:tc>
        <w:tc>
          <w:tcPr>
            <w:tcW w:type="dxa" w:w="3800"/>
            <w:tcMar>
              <w:top w:type="dxa" w:w="60"/>
              <w:left w:type="dxa" w:w="100"/>
              <w:bottom w:type="dxa" w:w="60"/>
              <w:right w:type="dxa" w:w="100"/>
            </w:tcMar>
            <w:vAlign w:val="center"/>
          </w:tcPr>
          <w:p>
            <w:pPr>
              <w:jc w:val="left"/>
            </w:pPr>
            <w:r>
              <w:rPr>
                <w:b w:val="false"/>
                <w:bCs w:val="false"/>
                <w:sz w:val="18"/>
                <w:szCs w:val="18"/>
              </w:rPr>
              <w:t xml:space="preserve">No official Twilio SDK used for sends</w:t>
            </w:r>
          </w:p>
        </w:tc>
      </w:tr>
      <w:tr>
        <w:tc>
          <w:tcPr>
            <w:tcW w:type="dxa" w:w="1900"/>
            <w:shd w:fill="F9FAFB" w:val="clear"/>
            <w:tcMar>
              <w:top w:type="dxa" w:w="60"/>
              <w:left w:type="dxa" w:w="100"/>
              <w:bottom w:type="dxa" w:w="60"/>
              <w:right w:type="dxa" w:w="100"/>
            </w:tcMar>
            <w:vAlign w:val="center"/>
          </w:tcPr>
          <w:p>
            <w:pPr>
              <w:jc w:val="left"/>
            </w:pPr>
            <w:r>
              <w:rPr>
                <w:b w:val="false"/>
                <w:bCs w:val="false"/>
                <w:sz w:val="18"/>
                <w:szCs w:val="18"/>
              </w:rPr>
              <w:t xml:space="preserve">AI</w:t>
            </w:r>
          </w:p>
        </w:tc>
        <w:tc>
          <w:tcPr>
            <w:tcW w:type="dxa" w:w="3900"/>
            <w:shd w:fill="F9FAFB" w:val="clear"/>
            <w:tcMar>
              <w:top w:type="dxa" w:w="60"/>
              <w:left w:type="dxa" w:w="100"/>
              <w:bottom w:type="dxa" w:w="60"/>
              <w:right w:type="dxa" w:w="100"/>
            </w:tcMar>
            <w:vAlign w:val="center"/>
          </w:tcPr>
          <w:p>
            <w:pPr>
              <w:jc w:val="left"/>
            </w:pPr>
            <w:r>
              <w:rPr>
                <w:b w:val="false"/>
                <w:bCs w:val="false"/>
                <w:sz w:val="18"/>
                <w:szCs w:val="18"/>
              </w:rPr>
              <w:t xml:space="preserve">OpenAI SDK pointed at Groq (llama-3.3-70b-versatile) with OpenAI (gpt-4o/gpt-4o-mini) fallback</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Single provider-abstraction pattern reused across three controllers</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Payments</w:t>
            </w:r>
          </w:p>
        </w:tc>
        <w:tc>
          <w:tcPr>
            <w:tcW w:type="dxa" w:w="3900"/>
            <w:tcMar>
              <w:top w:type="dxa" w:w="60"/>
              <w:left w:type="dxa" w:w="100"/>
              <w:bottom w:type="dxa" w:w="60"/>
              <w:right w:type="dxa" w:w="100"/>
            </w:tcMar>
            <w:vAlign w:val="center"/>
          </w:tcPr>
          <w:p>
            <w:pPr>
              <w:jc w:val="left"/>
            </w:pPr>
            <w:r>
              <w:rPr>
                <w:b w:val="false"/>
                <w:bCs w:val="false"/>
                <w:sz w:val="18"/>
                <w:szCs w:val="18"/>
              </w:rPr>
              <w:t xml:space="preserve">Stripe (Checkout + Billing Portal + webhooks)</w:t>
            </w:r>
          </w:p>
        </w:tc>
        <w:tc>
          <w:tcPr>
            <w:tcW w:type="dxa" w:w="3800"/>
            <w:tcMar>
              <w:top w:type="dxa" w:w="60"/>
              <w:left w:type="dxa" w:w="100"/>
              <w:bottom w:type="dxa" w:w="60"/>
              <w:right w:type="dxa" w:w="100"/>
            </w:tcMar>
            <w:vAlign w:val="center"/>
          </w:tcPr>
          <w:p>
            <w:pPr>
              <w:jc w:val="left"/>
            </w:pPr>
            <w:r>
              <w:rPr>
                <w:b w:val="false"/>
                <w:bCs w:val="false"/>
                <w:sz w:val="18"/>
                <w:szCs w:val="18"/>
              </w:rPr>
              <w:t xml:space="preserve">Free / Pro / Enterprise plans</w:t>
            </w:r>
          </w:p>
        </w:tc>
      </w:tr>
      <w:tr>
        <w:tc>
          <w:tcPr>
            <w:tcW w:type="dxa" w:w="1900"/>
            <w:shd w:fill="F9FAFB" w:val="clear"/>
            <w:tcMar>
              <w:top w:type="dxa" w:w="60"/>
              <w:left w:type="dxa" w:w="100"/>
              <w:bottom w:type="dxa" w:w="60"/>
              <w:right w:type="dxa" w:w="100"/>
            </w:tcMar>
            <w:vAlign w:val="center"/>
          </w:tcPr>
          <w:p>
            <w:pPr>
              <w:jc w:val="left"/>
            </w:pPr>
            <w:r>
              <w:rPr>
                <w:b w:val="false"/>
                <w:bCs w:val="false"/>
                <w:sz w:val="18"/>
                <w:szCs w:val="18"/>
              </w:rPr>
              <w:t xml:space="preserve">Testing</w:t>
            </w:r>
          </w:p>
        </w:tc>
        <w:tc>
          <w:tcPr>
            <w:tcW w:type="dxa" w:w="3900"/>
            <w:shd w:fill="F9FAFB" w:val="clear"/>
            <w:tcMar>
              <w:top w:type="dxa" w:w="60"/>
              <w:left w:type="dxa" w:w="100"/>
              <w:bottom w:type="dxa" w:w="60"/>
              <w:right w:type="dxa" w:w="100"/>
            </w:tcMar>
            <w:vAlign w:val="center"/>
          </w:tcPr>
          <w:p>
            <w:pPr>
              <w:jc w:val="left"/>
            </w:pPr>
            <w:r>
              <w:rPr>
                <w:b w:val="false"/>
                <w:bCs w:val="false"/>
                <w:sz w:val="18"/>
                <w:szCs w:val="18"/>
              </w:rPr>
              <w:t xml:space="preserve">Playwright (E2E)</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~50 spec files under tests/e2e covering nearly every module</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Deployment</w:t>
            </w:r>
          </w:p>
        </w:tc>
        <w:tc>
          <w:tcPr>
            <w:tcW w:type="dxa" w:w="3900"/>
            <w:tcMar>
              <w:top w:type="dxa" w:w="60"/>
              <w:left w:type="dxa" w:w="100"/>
              <w:bottom w:type="dxa" w:w="60"/>
              <w:right w:type="dxa" w:w="100"/>
            </w:tcMar>
            <w:vAlign w:val="center"/>
          </w:tcPr>
          <w:p>
            <w:pPr>
              <w:jc w:val="left"/>
            </w:pPr>
            <w:r>
              <w:rPr>
                <w:b w:val="false"/>
                <w:bCs w:val="false"/>
                <w:sz w:val="18"/>
                <w:szCs w:val="18"/>
              </w:rPr>
              <w:t xml:space="preserve">Docker Compose (self-host) and Render.yaml (Render.com)</w:t>
            </w:r>
          </w:p>
        </w:tc>
        <w:tc>
          <w:tcPr>
            <w:tcW w:type="dxa" w:w="3800"/>
            <w:tcMar>
              <w:top w:type="dxa" w:w="60"/>
              <w:left w:type="dxa" w:w="100"/>
              <w:bottom w:type="dxa" w:w="60"/>
              <w:right w:type="dxa" w:w="100"/>
            </w:tcMar>
            <w:vAlign w:val="center"/>
          </w:tcPr>
          <w:p>
            <w:pPr>
              <w:jc w:val="left"/>
            </w:pPr>
            <w:r>
              <w:rPr>
                <w:b w:val="false"/>
                <w:bCs w:val="false"/>
                <w:sz w:val="18"/>
                <w:szCs w:val="18"/>
              </w:rPr>
              <w:t xml:space="preserve">See 1.7</w:t>
            </w:r>
          </w:p>
        </w:tc>
      </w:tr>
    </w:tbl>
    <w:p>
      <w:pPr>
        <w:pStyle w:val="Heading2"/>
        <w:spacing w:after="160" w:before="360"/>
      </w:pPr>
      <w:r>
        <w:rPr>
          <w:b/>
          <w:bCs/>
          <w:color w:val="1F2937"/>
          <w:sz w:val="26"/>
          <w:szCs w:val="26"/>
        </w:rPr>
        <w:t xml:space="preserve">1.3 Repository Layout</w:t>
      </w:r>
    </w:p>
    <w:p>
      <w:pPr>
        <w:pStyle w:val="ListParagraph"/>
        <w:numPr>
          <w:ilvl w:val="0"/>
          <w:numId w:val="2"/>
        </w:numPr>
        <w:spacing w:after="90" w:line="276"/>
      </w:pPr>
      <w:r>
        <w:rPr>
          <w:b/>
          <w:bCs/>
          <w:sz w:val="20"/>
          <w:szCs w:val="20"/>
        </w:rPr>
        <w:t xml:space="preserve">client/</w:t>
      </w:r>
      <w:r>
        <w:rPr>
          <w:sz w:val="20"/>
          <w:szCs w:val="20"/>
        </w:rPr>
        <w:t xml:space="preserve"> — React + TypeScript + Tailwind SPA (pages, feature modules, shared components, hooks, API client layer).</w:t>
      </w:r>
    </w:p>
    <w:p>
      <w:pPr>
        <w:pStyle w:val="ListParagraph"/>
        <w:numPr>
          <w:ilvl w:val="0"/>
          <w:numId w:val="2"/>
        </w:numPr>
        <w:spacing w:after="90" w:line="276"/>
      </w:pPr>
      <w:r>
        <w:rPr>
          <w:b/>
          <w:bCs/>
          <w:sz w:val="20"/>
          <w:szCs w:val="20"/>
        </w:rPr>
        <w:t xml:space="preserve">server/</w:t>
      </w:r>
      <w:r>
        <w:rPr>
          <w:sz w:val="20"/>
          <w:szCs w:val="20"/>
        </w:rPr>
        <w:t xml:space="preserve"> — Express + TypeScript API, Prisma schema and migrations, seed script.</w:t>
      </w:r>
    </w:p>
    <w:p>
      <w:pPr>
        <w:pStyle w:val="ListParagraph"/>
        <w:numPr>
          <w:ilvl w:val="0"/>
          <w:numId w:val="2"/>
        </w:numPr>
        <w:spacing w:after="90" w:line="276"/>
      </w:pPr>
      <w:r>
        <w:rPr>
          <w:b/>
          <w:bCs/>
          <w:sz w:val="20"/>
          <w:szCs w:val="20"/>
        </w:rPr>
        <w:t xml:space="preserve">tests/</w:t>
      </w:r>
      <w:r>
        <w:rPr>
          <w:sz w:val="20"/>
          <w:szCs w:val="20"/>
        </w:rPr>
        <w:t xml:space="preserve"> — Playwright end-to-end test suite (one spec file per feature area) plus shared login/seed helpers.</w:t>
      </w:r>
    </w:p>
    <w:p>
      <w:pPr>
        <w:pStyle w:val="ListParagraph"/>
        <w:numPr>
          <w:ilvl w:val="0"/>
          <w:numId w:val="2"/>
        </w:numPr>
        <w:spacing w:after="90" w:line="276"/>
      </w:pPr>
      <w:r>
        <w:rPr>
          <w:b/>
          <w:bCs/>
          <w:sz w:val="20"/>
          <w:szCs w:val="20"/>
        </w:rPr>
        <w:t xml:space="preserve">docker-compose.yml / render.yaml</w:t>
      </w:r>
      <w:r>
        <w:rPr>
          <w:sz w:val="20"/>
          <w:szCs w:val="20"/>
        </w:rPr>
        <w:t xml:space="preserve"> — container and PaaS deployment definitions.</w:t>
      </w:r>
    </w:p>
    <w:p>
      <w:pPr>
        <w:pStyle w:val="ListParagraph"/>
        <w:numPr>
          <w:ilvl w:val="0"/>
          <w:numId w:val="2"/>
        </w:numPr>
        <w:spacing w:after="90" w:line="276"/>
      </w:pPr>
      <w:r>
        <w:rPr>
          <w:b/>
          <w:bCs/>
          <w:sz w:val="20"/>
          <w:szCs w:val="20"/>
        </w:rPr>
        <w:t xml:space="preserve">project_blueprint.docx</w:t>
      </w:r>
      <w:r>
        <w:rPr>
          <w:sz w:val="20"/>
          <w:szCs w:val="20"/>
        </w:rPr>
        <w:t xml:space="preserve"> — original architecture/requirements/roadmap document from project inception.</w:t>
      </w:r>
    </w:p>
    <w:p>
      <w:pPr>
        <w:pStyle w:val="Heading2"/>
        <w:spacing w:after="160" w:before="360"/>
      </w:pPr>
      <w:r>
        <w:rPr>
          <w:b/>
          <w:bCs/>
          <w:color w:val="1F2937"/>
          <w:sz w:val="26"/>
          <w:szCs w:val="26"/>
        </w:rPr>
        <w:t xml:space="preserve">1.4 Multi-Tenancy Model</w:t>
      </w:r>
    </w:p>
    <w:p>
      <w:pPr>
        <w:spacing w:after="160" w:line="288"/>
      </w:pPr>
      <w:r>
        <w:rPr>
          <w:sz w:val="21"/>
          <w:szCs w:val="21"/>
        </w:rPr>
        <w:t xml:space="preserve">There is no dedicated tenant middleware and no database-level row-security policy. Multi-tenancy is enforced entirely by convention: every list, get, update, and delete query filters or matches on an orgId value pulled from the caller's JWT payload. Mutations consistently use updateMany/deleteMany with a compound {id, orgId} where-clause so that guessing another tenant's record ID cannot succeed. This pattern is repeated independently inside nearly every controller rather than centralized. One confirmed exception exists — see 14.1 (Known Gaps).</w:t>
      </w:r>
    </w:p>
    <w:p>
      <w:pPr>
        <w:pStyle w:val="Heading2"/>
        <w:spacing w:after="160" w:before="360"/>
      </w:pPr>
      <w:r>
        <w:rPr>
          <w:b/>
          <w:bCs/>
          <w:color w:val="1F2937"/>
          <w:sz w:val="26"/>
          <w:szCs w:val="26"/>
        </w:rPr>
        <w:t xml:space="preserve">1.5 Authentication &amp; Roles</w:t>
      </w:r>
    </w:p>
    <w:p>
      <w:pPr>
        <w:spacing w:after="160" w:line="288"/>
      </w:pPr>
      <w:r>
        <w:rPr>
          <w:sz w:val="21"/>
          <w:szCs w:val="21"/>
        </w:rPr>
        <w:t xml:space="preserve">The platform runs two completely independent identity systems:</w:t>
      </w:r>
    </w:p>
    <w:p>
      <w:pPr>
        <w:pStyle w:val="ListParagraph"/>
        <w:numPr>
          <w:ilvl w:val="0"/>
          <w:numId w:val="3"/>
        </w:numPr>
        <w:spacing w:after="90" w:line="276"/>
      </w:pPr>
      <w:r>
        <w:rPr>
          <w:b/>
          <w:bCs/>
          <w:sz w:val="20"/>
          <w:szCs w:val="20"/>
        </w:rPr>
        <w:t xml:space="preserve">Staff auth </w:t>
      </w:r>
      <w:r>
        <w:rPr>
          <w:sz w:val="20"/>
          <w:szCs w:val="20"/>
        </w:rPr>
        <w:t xml:space="preserve">(User model) — short-lived (15 min) access JWT plus an opaque, SHA-256-hashed refresh token (7-day expiry) stored server-side. The Axios client silently refreshes on a 401 and retries the original request once.</w:t>
      </w:r>
    </w:p>
    <w:p>
      <w:pPr>
        <w:pStyle w:val="ListParagraph"/>
        <w:numPr>
          <w:ilvl w:val="0"/>
          <w:numId w:val="3"/>
        </w:numPr>
        <w:spacing w:after="90" w:line="276"/>
      </w:pPr>
      <w:r>
        <w:rPr>
          <w:b/>
          <w:bCs/>
          <w:sz w:val="20"/>
          <w:szCs w:val="20"/>
        </w:rPr>
        <w:t xml:space="preserve">Portal auth </w:t>
      </w:r>
      <w:r>
        <w:rPr>
          <w:sz w:val="20"/>
          <w:szCs w:val="20"/>
        </w:rPr>
        <w:t xml:space="preserve">(PortalUser model) — a magic-link, passwordless flow for customers, resulting in a 7-day JWT carrying iss: 'portal', verified by a separate middleware. Distinguished from staff JWTs purely by that issuer claim.</w:t>
      </w:r>
    </w:p>
    <w:p>
      <w:pPr>
        <w:spacing w:after="160" w:line="288"/>
      </w:pPr>
      <w:r>
        <w:rPr>
          <w:sz w:val="21"/>
          <w:szCs w:val="21"/>
        </w:rPr>
        <w:t xml:space="preserve">Six staff roles exist, defined once in middleware and reused as named groups across every route: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00"/>
      </w:tblGrid>
      <w:tr>
        <w:trPr>
          <w:tblHeader/>
        </w:trPr>
        <w:tc>
          <w:tcPr>
            <w:tcW w:type="dxa" w:w="24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2800"/>
            <w:shd w:fill="E5E7EB" w:val="clear"/>
            <w:tcMar>
              <w:top w:type="dxa" w:w="60"/>
              <w:left w:type="dxa" w:w="100"/>
              <w:bottom w:type="dxa" w:w="60"/>
              <w:right w:type="dxa" w:w="100"/>
            </w:tcMar>
            <w:vAlign w:val="center"/>
          </w:tcPr>
          <w:p>
            <w:pPr>
              <w:jc w:val="left"/>
            </w:pPr>
            <w:r>
              <w:rPr>
                <w:b/>
                <w:bCs/>
                <w:color w:val="111827"/>
                <w:sz w:val="18"/>
                <w:szCs w:val="18"/>
              </w:rPr>
              <w:t xml:space="preserve">Typical Use</w:t>
            </w:r>
          </w:p>
        </w:tc>
        <w:tc>
          <w:tcPr>
            <w:tcW w:type="dxa" w:w="4400"/>
            <w:shd w:fill="E5E7EB" w:val="clear"/>
            <w:tcMar>
              <w:top w:type="dxa" w:w="60"/>
              <w:left w:type="dxa" w:w="100"/>
              <w:bottom w:type="dxa" w:w="60"/>
              <w:right w:type="dxa" w:w="100"/>
            </w:tcMar>
            <w:vAlign w:val="center"/>
          </w:tcPr>
          <w:p>
            <w:pPr>
              <w:jc w:val="left"/>
            </w:pPr>
            <w:r>
              <w:rPr>
                <w:b/>
                <w:bCs/>
                <w:color w:val="111827"/>
                <w:sz w:val="18"/>
                <w:szCs w:val="18"/>
              </w:rPr>
              <w:t xml:space="preserve">Notable Access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SUPER_ADMIN</w:t>
            </w:r>
          </w:p>
        </w:tc>
        <w:tc>
          <w:tcPr>
            <w:tcW w:type="dxa" w:w="2800"/>
            <w:tcMar>
              <w:top w:type="dxa" w:w="60"/>
              <w:left w:type="dxa" w:w="100"/>
              <w:bottom w:type="dxa" w:w="60"/>
              <w:right w:type="dxa" w:w="100"/>
            </w:tcMar>
            <w:vAlign w:val="center"/>
          </w:tcPr>
          <w:p>
            <w:pPr>
              <w:jc w:val="left"/>
            </w:pPr>
            <w:r>
              <w:rPr>
                <w:b w:val="false"/>
                <w:bCs w:val="false"/>
                <w:sz w:val="18"/>
                <w:szCs w:val="18"/>
              </w:rPr>
              <w:t xml:space="preserve">Org owner / IT admin</w:t>
            </w:r>
          </w:p>
        </w:tc>
        <w:tc>
          <w:tcPr>
            <w:tcW w:type="dxa" w:w="4400"/>
            <w:tcMar>
              <w:top w:type="dxa" w:w="60"/>
              <w:left w:type="dxa" w:w="100"/>
              <w:bottom w:type="dxa" w:w="60"/>
              <w:right w:type="dxa" w:w="100"/>
            </w:tcMar>
            <w:vAlign w:val="center"/>
          </w:tcPr>
          <w:p>
            <w:pPr>
              <w:jc w:val="left"/>
            </w:pPr>
            <w:r>
              <w:rPr>
                <w:b w:val="false"/>
                <w:bCs w:val="false"/>
                <w:sz w:val="18"/>
                <w:szCs w:val="18"/>
              </w:rPr>
              <w:t xml:space="preserve">Full access to every module, billing, API keys, user management</w:t>
            </w:r>
          </w:p>
        </w:tc>
      </w:tr>
      <w:tr>
        <w:tc>
          <w:tcPr>
            <w:tcW w:type="dxa" w:w="2400"/>
            <w:shd w:fill="F9FAFB" w:val="clear"/>
            <w:tcMar>
              <w:top w:type="dxa" w:w="60"/>
              <w:left w:type="dxa" w:w="100"/>
              <w:bottom w:type="dxa" w:w="60"/>
              <w:right w:type="dxa" w:w="100"/>
            </w:tcMar>
            <w:vAlign w:val="center"/>
          </w:tcPr>
          <w:p>
            <w:pPr>
              <w:jc w:val="left"/>
            </w:pPr>
            <w:r>
              <w:rPr>
                <w:b w:val="false"/>
                <w:bCs w:val="false"/>
                <w:sz w:val="18"/>
                <w:szCs w:val="18"/>
              </w:rPr>
              <w:t xml:space="preserve">IT_MANAGER</w:t>
            </w:r>
          </w:p>
        </w:tc>
        <w:tc>
          <w:tcPr>
            <w:tcW w:type="dxa" w:w="2800"/>
            <w:shd w:fill="F9FAFB" w:val="clear"/>
            <w:tcMar>
              <w:top w:type="dxa" w:w="60"/>
              <w:left w:type="dxa" w:w="100"/>
              <w:bottom w:type="dxa" w:w="60"/>
              <w:right w:type="dxa" w:w="100"/>
            </w:tcMar>
            <w:vAlign w:val="center"/>
          </w:tcPr>
          <w:p>
            <w:pPr>
              <w:jc w:val="left"/>
            </w:pPr>
            <w:r>
              <w:rPr>
                <w:b w:val="false"/>
                <w:bCs w:val="false"/>
                <w:sz w:val="18"/>
                <w:szCs w:val="18"/>
              </w:rPr>
              <w:t xml:space="preserve">Help desk lead</w:t>
            </w:r>
          </w:p>
        </w:tc>
        <w:tc>
          <w:tcPr>
            <w:tcW w:type="dxa" w:w="4400"/>
            <w:shd w:fill="F9FAFB" w:val="clear"/>
            <w:tcMar>
              <w:top w:type="dxa" w:w="60"/>
              <w:left w:type="dxa" w:w="100"/>
              <w:bottom w:type="dxa" w:w="60"/>
              <w:right w:type="dxa" w:w="100"/>
            </w:tcMar>
            <w:vAlign w:val="center"/>
          </w:tcPr>
          <w:p>
            <w:pPr>
              <w:jc w:val="left"/>
            </w:pPr>
            <w:r>
              <w:rPr>
                <w:b w:val="false"/>
                <w:bCs w:val="false"/>
                <w:sz w:val="18"/>
                <w:szCs w:val="18"/>
              </w:rPr>
              <w:t xml:space="preserve">Full IT Desk config (SLA, categories, assets), Slack/Teams, portal admin</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CRM_MANAGER</w:t>
            </w:r>
          </w:p>
        </w:tc>
        <w:tc>
          <w:tcPr>
            <w:tcW w:type="dxa" w:w="2800"/>
            <w:tcMar>
              <w:top w:type="dxa" w:w="60"/>
              <w:left w:type="dxa" w:w="100"/>
              <w:bottom w:type="dxa" w:w="60"/>
              <w:right w:type="dxa" w:w="100"/>
            </w:tcMar>
            <w:vAlign w:val="center"/>
          </w:tcPr>
          <w:p>
            <w:pPr>
              <w:jc w:val="left"/>
            </w:pPr>
            <w:r>
              <w:rPr>
                <w:b w:val="false"/>
                <w:bCs w:val="false"/>
                <w:sz w:val="18"/>
                <w:szCs w:val="18"/>
              </w:rPr>
              <w:t xml:space="preserve">Sales lead</w:t>
            </w:r>
          </w:p>
        </w:tc>
        <w:tc>
          <w:tcPr>
            <w:tcW w:type="dxa" w:w="4400"/>
            <w:tcMar>
              <w:top w:type="dxa" w:w="60"/>
              <w:left w:type="dxa" w:w="100"/>
              <w:bottom w:type="dxa" w:w="60"/>
              <w:right w:type="dxa" w:w="100"/>
            </w:tcMar>
            <w:vAlign w:val="center"/>
          </w:tcPr>
          <w:p>
            <w:pPr>
              <w:jc w:val="left"/>
            </w:pPr>
            <w:r>
              <w:rPr>
                <w:b w:val="false"/>
                <w:bCs w:val="false"/>
                <w:sz w:val="18"/>
                <w:szCs w:val="18"/>
              </w:rPr>
              <w:t xml:space="preserve">Full CRM config, campaigns, CSV import, deal/lead deletion</w:t>
            </w:r>
          </w:p>
        </w:tc>
      </w:tr>
      <w:tr>
        <w:tc>
          <w:tcPr>
            <w:tcW w:type="dxa" w:w="2400"/>
            <w:shd w:fill="F9FAFB" w:val="clear"/>
            <w:tcMar>
              <w:top w:type="dxa" w:w="60"/>
              <w:left w:type="dxa" w:w="100"/>
              <w:bottom w:type="dxa" w:w="60"/>
              <w:right w:type="dxa" w:w="100"/>
            </w:tcMar>
            <w:vAlign w:val="center"/>
          </w:tcPr>
          <w:p>
            <w:pPr>
              <w:jc w:val="left"/>
            </w:pPr>
            <w:r>
              <w:rPr>
                <w:b w:val="false"/>
                <w:bCs w:val="false"/>
                <w:sz w:val="18"/>
                <w:szCs w:val="18"/>
              </w:rPr>
              <w:t xml:space="preserve">IT_AGENT</w:t>
            </w:r>
          </w:p>
        </w:tc>
        <w:tc>
          <w:tcPr>
            <w:tcW w:type="dxa" w:w="2800"/>
            <w:shd w:fill="F9FAFB" w:val="clear"/>
            <w:tcMar>
              <w:top w:type="dxa" w:w="60"/>
              <w:left w:type="dxa" w:w="100"/>
              <w:bottom w:type="dxa" w:w="60"/>
              <w:right w:type="dxa" w:w="100"/>
            </w:tcMar>
            <w:vAlign w:val="center"/>
          </w:tcPr>
          <w:p>
            <w:pPr>
              <w:jc w:val="left"/>
            </w:pPr>
            <w:r>
              <w:rPr>
                <w:b w:val="false"/>
                <w:bCs w:val="false"/>
                <w:sz w:val="18"/>
                <w:szCs w:val="18"/>
              </w:rPr>
              <w:t xml:space="preserve">Support technician</w:t>
            </w:r>
          </w:p>
        </w:tc>
        <w:tc>
          <w:tcPr>
            <w:tcW w:type="dxa" w:w="4400"/>
            <w:shd w:fill="F9FAFB" w:val="clear"/>
            <w:tcMar>
              <w:top w:type="dxa" w:w="60"/>
              <w:left w:type="dxa" w:w="100"/>
              <w:bottom w:type="dxa" w:w="60"/>
              <w:right w:type="dxa" w:w="100"/>
            </w:tcMar>
            <w:vAlign w:val="center"/>
          </w:tcPr>
          <w:p>
            <w:pPr>
              <w:jc w:val="left"/>
            </w:pPr>
            <w:r>
              <w:rPr>
                <w:b w:val="false"/>
                <w:bCs w:val="false"/>
                <w:sz w:val="18"/>
                <w:szCs w:val="18"/>
              </w:rPr>
              <w:t xml:space="preserve">Ticket handling, assets, change requests, AI Builder</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SALES_REP</w:t>
            </w:r>
          </w:p>
        </w:tc>
        <w:tc>
          <w:tcPr>
            <w:tcW w:type="dxa" w:w="2800"/>
            <w:tcMar>
              <w:top w:type="dxa" w:w="60"/>
              <w:left w:type="dxa" w:w="100"/>
              <w:bottom w:type="dxa" w:w="60"/>
              <w:right w:type="dxa" w:w="100"/>
            </w:tcMar>
            <w:vAlign w:val="center"/>
          </w:tcPr>
          <w:p>
            <w:pPr>
              <w:jc w:val="left"/>
            </w:pPr>
            <w:r>
              <w:rPr>
                <w:b w:val="false"/>
                <w:bCs w:val="false"/>
                <w:sz w:val="18"/>
                <w:szCs w:val="18"/>
              </w:rPr>
              <w:t xml:space="preserve">Sales rep</w:t>
            </w:r>
          </w:p>
        </w:tc>
        <w:tc>
          <w:tcPr>
            <w:tcW w:type="dxa" w:w="4400"/>
            <w:tcMar>
              <w:top w:type="dxa" w:w="60"/>
              <w:left w:type="dxa" w:w="100"/>
              <w:bottom w:type="dxa" w:w="60"/>
              <w:right w:type="dxa" w:w="100"/>
            </w:tcMar>
            <w:vAlign w:val="center"/>
          </w:tcPr>
          <w:p>
            <w:pPr>
              <w:jc w:val="left"/>
            </w:pPr>
            <w:r>
              <w:rPr>
                <w:b w:val="false"/>
                <w:bCs w:val="false"/>
                <w:sz w:val="18"/>
                <w:szCs w:val="18"/>
              </w:rPr>
              <w:t xml:space="preserve">CRM records (contacts/leads/deals/quotes), no delete rights</w:t>
            </w:r>
          </w:p>
        </w:tc>
      </w:tr>
      <w:tr>
        <w:tc>
          <w:tcPr>
            <w:tcW w:type="dxa" w:w="2400"/>
            <w:shd w:fill="F9FAFB" w:val="clear"/>
            <w:tcMar>
              <w:top w:type="dxa" w:w="60"/>
              <w:left w:type="dxa" w:w="100"/>
              <w:bottom w:type="dxa" w:w="60"/>
              <w:right w:type="dxa" w:w="100"/>
            </w:tcMar>
            <w:vAlign w:val="center"/>
          </w:tcPr>
          <w:p>
            <w:pPr>
              <w:jc w:val="left"/>
            </w:pPr>
            <w:r>
              <w:rPr>
                <w:b w:val="false"/>
                <w:bCs w:val="false"/>
                <w:sz w:val="18"/>
                <w:szCs w:val="18"/>
              </w:rPr>
              <w:t xml:space="preserve">EMPLOYEE</w:t>
            </w:r>
          </w:p>
        </w:tc>
        <w:tc>
          <w:tcPr>
            <w:tcW w:type="dxa" w:w="2800"/>
            <w:shd w:fill="F9FAFB" w:val="clear"/>
            <w:tcMar>
              <w:top w:type="dxa" w:w="60"/>
              <w:left w:type="dxa" w:w="100"/>
              <w:bottom w:type="dxa" w:w="60"/>
              <w:right w:type="dxa" w:w="100"/>
            </w:tcMar>
            <w:vAlign w:val="center"/>
          </w:tcPr>
          <w:p>
            <w:pPr>
              <w:jc w:val="left"/>
            </w:pPr>
            <w:r>
              <w:rPr>
                <w:b w:val="false"/>
                <w:bCs w:val="false"/>
                <w:sz w:val="18"/>
                <w:szCs w:val="18"/>
              </w:rPr>
              <w:t xml:space="preserve">General staff member</w:t>
            </w:r>
          </w:p>
        </w:tc>
        <w:tc>
          <w:tcPr>
            <w:tcW w:type="dxa" w:w="4400"/>
            <w:shd w:fill="F9FAFB" w:val="clear"/>
            <w:tcMar>
              <w:top w:type="dxa" w:w="60"/>
              <w:left w:type="dxa" w:w="100"/>
              <w:bottom w:type="dxa" w:w="60"/>
              <w:right w:type="dxa" w:w="100"/>
            </w:tcMar>
            <w:vAlign w:val="center"/>
          </w:tcPr>
          <w:p>
            <w:pPr>
              <w:jc w:val="left"/>
            </w:pPr>
            <w:r>
              <w:rPr>
                <w:b w:val="false"/>
                <w:bCs w:val="false"/>
                <w:sz w:val="18"/>
                <w:szCs w:val="18"/>
              </w:rPr>
              <w:t xml:space="preserve">Can only file and view their own help desk tickets</w:t>
            </w:r>
          </w:p>
        </w:tc>
      </w:tr>
    </w:tbl>
    <w:p>
      <w:pPr>
        <w:pBdr>
          <w:left w:val="single" w:color="D97706" w:sz="24" w:space="8"/>
        </w:pBdr>
        <w:shd w:fill="FEF3C7" w:val="clear"/>
        <w:spacing w:after="160" w:before="120"/>
        <w:ind w:left="100"/>
      </w:pPr>
      <w:r>
        <w:rPr>
          <w:b/>
          <w:bCs/>
          <w:color w:val="92400E"/>
          <w:sz w:val="20"/>
          <w:szCs w:val="20"/>
        </w:rPr>
        <w:t xml:space="preserve">Note: </w:t>
      </w:r>
      <w:r>
        <w:rPr>
          <w:color w:val="78350F"/>
          <w:sz w:val="20"/>
          <w:szCs w:val="20"/>
        </w:rPr>
        <w:t xml:space="preserve">Role checks are enforced server-side per route (requireRole(...)), but on the frontend, authorization is almost entirely UI-only — hiding a sidebar link does not stop a direct URL visit from rendering the page (the underlying API calls are still rejected server-side). Only the Users admin page adds an explicit client-side "Access denied" guard. See 14.1 for the full list of related gaps.</w:t>
      </w:r>
    </w:p>
    <w:p>
      <w:pPr>
        <w:pStyle w:val="Heading2"/>
        <w:spacing w:after="160" w:before="360"/>
      </w:pPr>
      <w:r>
        <w:rPr>
          <w:b/>
          <w:bCs/>
          <w:color w:val="1F2937"/>
          <w:sz w:val="26"/>
          <w:szCs w:val="26"/>
        </w:rPr>
        <w:t xml:space="preserve">1.6 Real-Time Layer (SSE)</w:t>
      </w:r>
    </w:p>
    <w:p>
      <w:pPr>
        <w:spacing w:after="160" w:line="288"/>
      </w:pPr>
      <w:r>
        <w:rPr>
          <w:sz w:val="21"/>
          <w:szCs w:val="21"/>
        </w:rPr>
        <w:t xml:space="preserve">The application uses Server-Sent Events, not WebSockets, as its sole real-time transport. A single GET /api/events/stream endpoint (JWT passed as a ?_t= query parameter, since EventSource cannot set custom headers) registers each connection in an in-memory manager keyed by (orgId, userId), sends a keep-alive PING every 25 seconds, and pushes named events — ticket:created, ticket:status, inbox:message, lead:created, deal:updated, notification — whenever the relevant controller broadcasts one. On the client, a single useSSE hook (mounted once inside the always-present NotificationBell component) reconnects automatically after a 5-second backoff, invalidates the matching React Query cache keys, and feeds a floating toast stack.</w:t>
      </w:r>
    </w:p>
    <w:p>
      <w:pPr>
        <w:pStyle w:val="Heading2"/>
        <w:spacing w:after="160" w:before="360"/>
      </w:pPr>
      <w:r>
        <w:rPr>
          <w:b/>
          <w:bCs/>
          <w:color w:val="1F2937"/>
          <w:sz w:val="26"/>
          <w:szCs w:val="26"/>
        </w:rPr>
        <w:t xml:space="preserve">1.7 Deployment Topology</w:t>
      </w:r>
    </w:p>
    <w:p>
      <w:pPr>
        <w:spacing w:after="160" w:line="288"/>
      </w:pPr>
      <w:r>
        <w:rPr>
          <w:sz w:val="21"/>
          <w:szCs w:val="21"/>
        </w:rPr>
        <w:t xml:space="preserve">Two deployment paths are provided out of the box:</w:t>
      </w:r>
    </w:p>
    <w:p>
      <w:pPr>
        <w:pStyle w:val="ListParagraph"/>
        <w:numPr>
          <w:ilvl w:val="0"/>
          <w:numId w:val="2"/>
        </w:numPr>
        <w:spacing w:after="90" w:line="276"/>
      </w:pPr>
      <w:r>
        <w:rPr>
          <w:b/>
          <w:bCs/>
          <w:sz w:val="20"/>
          <w:szCs w:val="20"/>
        </w:rPr>
        <w:t xml:space="preserve">Docker Compose </w:t>
      </w:r>
      <w:r>
        <w:rPr>
          <w:sz w:val="20"/>
          <w:szCs w:val="20"/>
        </w:rPr>
        <w:t xml:space="preserve">— three services: postgres:16-alpine, a Node/Express server container (port 4000), and a static/Nginx client container (port 5173) built from the Vite production bundle.</w:t>
      </w:r>
    </w:p>
    <w:p>
      <w:pPr>
        <w:pStyle w:val="ListParagraph"/>
        <w:numPr>
          <w:ilvl w:val="0"/>
          <w:numId w:val="2"/>
        </w:numPr>
        <w:spacing w:after="90" w:line="276"/>
      </w:pPr>
      <w:r>
        <w:rPr>
          <w:b/>
          <w:bCs/>
          <w:sz w:val="20"/>
          <w:szCs w:val="20"/>
        </w:rPr>
        <w:t xml:space="preserve">Render.com (render.yaml) </w:t>
      </w:r>
      <w:r>
        <w:rPr>
          <w:sz w:val="20"/>
          <w:szCs w:val="20"/>
        </w:rPr>
        <w:t xml:space="preserve">— a managed Postgres instance, the API as a Node web service (runs prisma migrate deploy on boot, exposes /health for Render's health check), and the frontend as a static site with an /api/* rewrite proxy back to the API service.</w:t>
      </w:r>
    </w:p>
    <w:p>
      <w:pPr>
        <w:spacing w:after="160" w:line="288"/>
      </w:pPr>
      <w:r>
        <w:rPr>
          <w:sz w:val="21"/>
          <w:szCs w:val="21"/>
        </w:rPr>
        <w:t xml:space="preserve">Both paths configure the same environment-variable surface: DATABASE_URL, JWT_SECRET/JWT_REFRESH_SECRET (15m/7d expiry), CORS_ORIGIN, FRONTEND_URL, and SMTP credentials for transactional email (invites, ticket notifications, CSAT survey links, portal magic links).</w:t>
      </w:r>
    </w:p>
    <w:p>
      <w:pPr>
        <w:pStyle w:val="Heading2"/>
        <w:spacing w:after="160" w:before="360"/>
      </w:pPr>
      <w:r>
        <w:rPr>
          <w:b/>
          <w:bCs/>
          <w:color w:val="1F2937"/>
          <w:sz w:val="26"/>
          <w:szCs w:val="26"/>
        </w:rPr>
        <w:t xml:space="preserve">1.8 Global API Middleware (server/src/index.ts)</w:t>
      </w:r>
    </w:p>
    <w:p>
      <w:pPr>
        <w:pStyle w:val="ListParagraph"/>
        <w:numPr>
          <w:ilvl w:val="0"/>
          <w:numId w:val="4"/>
        </w:numPr>
        <w:spacing w:after="90" w:line="276"/>
      </w:pPr>
      <w:r>
        <w:rPr>
          <w:sz w:val="20"/>
          <w:szCs w:val="20"/>
        </w:rPr>
        <w:t xml:space="preserve">helmet() with crossOriginResourcePolicy: cross-origin (permits cross-origin avatar/file loads).</w:t>
      </w:r>
    </w:p>
    <w:p>
      <w:pPr>
        <w:pStyle w:val="ListParagraph"/>
        <w:numPr>
          <w:ilvl w:val="0"/>
          <w:numId w:val="4"/>
        </w:numPr>
        <w:spacing w:after="90" w:line="276"/>
      </w:pPr>
      <w:r>
        <w:rPr>
          <w:sz w:val="20"/>
          <w:szCs w:val="20"/>
        </w:rPr>
        <w:t xml:space="preserve">compression() for gzip responses.</w:t>
      </w:r>
    </w:p>
    <w:p>
      <w:pPr>
        <w:pStyle w:val="ListParagraph"/>
        <w:numPr>
          <w:ilvl w:val="0"/>
          <w:numId w:val="4"/>
        </w:numPr>
        <w:spacing w:after="90" w:line="276"/>
      </w:pPr>
      <w:r>
        <w:rPr>
          <w:sz w:val="20"/>
          <w:szCs w:val="20"/>
        </w:rPr>
        <w:t xml:space="preserve">cors() scoped to CORS_ORIGIN, with credentials: true.</w:t>
      </w:r>
    </w:p>
    <w:p>
      <w:pPr>
        <w:pStyle w:val="ListParagraph"/>
        <w:numPr>
          <w:ilvl w:val="0"/>
          <w:numId w:val="4"/>
        </w:numPr>
        <w:spacing w:after="90" w:line="276"/>
      </w:pPr>
      <w:r>
        <w:rPr>
          <w:sz w:val="20"/>
          <w:szCs w:val="20"/>
        </w:rPr>
        <w:t xml:space="preserve">Body parsing: the WhatsApp webhook route is special-cased to urlencoded parsing (Twilio sends form-encoded payloads) ahead of the global express.json({limit:'1mb'}).</w:t>
      </w:r>
    </w:p>
    <w:p>
      <w:pPr>
        <w:pStyle w:val="ListParagraph"/>
        <w:numPr>
          <w:ilvl w:val="0"/>
          <w:numId w:val="4"/>
        </w:numPr>
        <w:spacing w:after="90" w:line="276"/>
      </w:pPr>
      <w:r>
        <w:rPr>
          <w:sz w:val="20"/>
          <w:szCs w:val="20"/>
        </w:rPr>
        <w:t xml:space="preserve">Rate limiting (express-rate-limit), active only in production: 20 requests/15 min on auth endpoints (login, register, accept-invite, admin invite); 300 requests/min on the API as a whole.</w:t>
      </w:r>
    </w:p>
    <w:p>
      <w:pPr>
        <w:pStyle w:val="ListParagraph"/>
        <w:numPr>
          <w:ilvl w:val="0"/>
          <w:numId w:val="4"/>
        </w:numPr>
        <w:spacing w:after="90" w:line="276"/>
      </w:pPr>
      <w:r>
        <w:rPr>
          <w:sz w:val="20"/>
          <w:szCs w:val="20"/>
        </w:rPr>
        <w:t xml:space="preserve">GET /health checks live DB connectivity (SELECT 1) for use by hosting-platform health checks.</w:t>
      </w:r>
    </w:p>
    <w:p>
      <w:pPr>
        <w:pStyle w:val="ListParagraph"/>
        <w:numPr>
          <w:ilvl w:val="0"/>
          <w:numId w:val="4"/>
        </w:numPr>
        <w:spacing w:after="90" w:line="276"/>
      </w:pPr>
      <w:r>
        <w:rPr>
          <w:sz w:val="20"/>
          <w:szCs w:val="20"/>
        </w:rPr>
        <w:t xml:space="preserve">A central error handler maps AppError, ZodError (→400 with field details), and oversized payloads (→413) to structured JSON responses.</w:t>
      </w:r>
    </w:p>
    <w:p>
      <w:pPr>
        <w:pStyle w:val="ListParagraph"/>
        <w:numPr>
          <w:ilvl w:val="0"/>
          <w:numId w:val="4"/>
        </w:numPr>
        <w:spacing w:after="90" w:line="276"/>
      </w:pPr>
      <w:r>
        <w:rPr>
          <w:sz w:val="20"/>
          <w:szCs w:val="20"/>
        </w:rPr>
        <w:t xml:space="preserve">Two background jobs: an hourly purge of expired refresh tokens, and an email-inbox sync that runs at startup and then every 5 minutes for every organization with a connected mailbox.</w:t>
      </w:r>
    </w:p>
    <w:p>
      <w:pPr>
        <w:pStyle w:val="ListParagraph"/>
        <w:numPr>
          <w:ilvl w:val="0"/>
          <w:numId w:val="4"/>
        </w:numPr>
        <w:spacing w:after="90" w:line="276"/>
      </w:pPr>
      <w:r>
        <w:rPr>
          <w:sz w:val="20"/>
          <w:szCs w:val="20"/>
        </w:rPr>
        <w:t xml:space="preserve">Graceful shutdown on SIGTERM/SIGINT with a 10-second force-exit timeout and a clean Prisma disconnect.</w:t>
      </w:r>
    </w:p>
    <w:p>
      <w:r>
        <w:br w:type="page"/>
      </w:r>
    </w:p>
    <w:p>
      <w:pPr>
        <w:pStyle w:val="Heading1"/>
        <w:pBdr>
          <w:bottom w:val="single" w:color="2563EB" w:sz="12" w:space="4"/>
        </w:pBdr>
        <w:spacing w:after="240" w:before="480"/>
      </w:pPr>
      <w:r>
        <w:rPr>
          <w:b/>
          <w:bCs/>
          <w:color w:val="1F2937"/>
          <w:sz w:val="32"/>
          <w:szCs w:val="32"/>
        </w:rPr>
        <w:t xml:space="preserve">2. Data Model (Database Schema)</w:t>
      </w:r>
    </w:p>
    <w:p>
      <w:pPr>
        <w:spacing w:after="160" w:line="288"/>
      </w:pPr>
      <w:r>
        <w:rPr>
          <w:sz w:val="21"/>
          <w:szCs w:val="21"/>
        </w:rPr>
        <w:t xml:space="preserve">The database is PostgreSQL, accessed exclusively through Prisma. All tenant-scoped tables carry an orgId foreign key back to Organization, cascading on delete. The schema below is grouped by functional domain; column lists are abbreviated to the fields most relevant for understanding behavior (full detail lives in server/prisma/schema.prisma).</w:t>
      </w:r>
    </w:p>
    <w:p>
      <w:pPr>
        <w:pStyle w:val="Heading2"/>
        <w:spacing w:after="160" w:before="360"/>
      </w:pPr>
      <w:r>
        <w:rPr>
          <w:b/>
          <w:bCs/>
          <w:color w:val="1F2937"/>
          <w:sz w:val="26"/>
          <w:szCs w:val="26"/>
        </w:rPr>
        <w:t xml:space="preserve">2.1 Platform / Identity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rPr>
          <w:tblHeader/>
        </w:trPr>
        <w:tc>
          <w:tcPr>
            <w:tcW w:type="dxa" w:w="2000"/>
            <w:shd w:fill="E5E7EB" w:val="clear"/>
            <w:tcMar>
              <w:top w:type="dxa" w:w="60"/>
              <w:left w:type="dxa" w:w="100"/>
              <w:bottom w:type="dxa" w:w="60"/>
              <w:right w:type="dxa" w:w="100"/>
            </w:tcMar>
            <w:vAlign w:val="center"/>
          </w:tcPr>
          <w:p>
            <w:pPr>
              <w:jc w:val="left"/>
            </w:pPr>
            <w:r>
              <w:rPr>
                <w:b/>
                <w:bCs/>
                <w:color w:val="111827"/>
                <w:sz w:val="18"/>
                <w:szCs w:val="18"/>
              </w:rPr>
              <w:t xml:space="preserve">Model</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Key Fields</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Purpose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Organization</w:t>
            </w:r>
          </w:p>
        </w:tc>
        <w:tc>
          <w:tcPr>
            <w:tcW w:type="dxa" w:w="3800"/>
            <w:tcMar>
              <w:top w:type="dxa" w:w="60"/>
              <w:left w:type="dxa" w:w="100"/>
              <w:bottom w:type="dxa" w:w="60"/>
              <w:right w:type="dxa" w:w="100"/>
            </w:tcMar>
            <w:vAlign w:val="center"/>
          </w:tcPr>
          <w:p>
            <w:pPr>
              <w:jc w:val="left"/>
            </w:pPr>
            <w:r>
              <w:rPr>
                <w:b w:val="false"/>
                <w:bCs w:val="false"/>
                <w:sz w:val="18"/>
                <w:szCs w:val="18"/>
              </w:rPr>
              <w:t xml:space="preserve">id, name, slug (unique), plan</w:t>
            </w:r>
          </w:p>
        </w:tc>
        <w:tc>
          <w:tcPr>
            <w:tcW w:type="dxa" w:w="3800"/>
            <w:tcMar>
              <w:top w:type="dxa" w:w="60"/>
              <w:left w:type="dxa" w:w="100"/>
              <w:bottom w:type="dxa" w:w="60"/>
              <w:right w:type="dxa" w:w="100"/>
            </w:tcMar>
            <w:vAlign w:val="center"/>
          </w:tcPr>
          <w:p>
            <w:pPr>
              <w:jc w:val="left"/>
            </w:pPr>
            <w:r>
              <w:rPr>
                <w:b w:val="false"/>
                <w:bCs w:val="false"/>
                <w:sz w:val="18"/>
                <w:szCs w:val="18"/>
              </w:rPr>
              <w:t xml:space="preserve">The tenant root. Every other table hangs off this via orgId.</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User</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email (globally unique), passwordHash, role, department, isActive, orgId</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Staff account. role is the UserRole enum driving all RBAC.</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RefreshToken</w:t>
            </w:r>
          </w:p>
        </w:tc>
        <w:tc>
          <w:tcPr>
            <w:tcW w:type="dxa" w:w="3800"/>
            <w:tcMar>
              <w:top w:type="dxa" w:w="60"/>
              <w:left w:type="dxa" w:w="100"/>
              <w:bottom w:type="dxa" w:w="60"/>
              <w:right w:type="dxa" w:w="100"/>
            </w:tcMar>
            <w:vAlign w:val="center"/>
          </w:tcPr>
          <w:p>
            <w:pPr>
              <w:jc w:val="left"/>
            </w:pPr>
            <w:r>
              <w:rPr>
                <w:b w:val="false"/>
                <w:bCs w:val="false"/>
                <w:sz w:val="18"/>
                <w:szCs w:val="18"/>
              </w:rPr>
              <w:t xml:space="preserve">userId, tokenHash (unique), expiresAt</w:t>
            </w:r>
          </w:p>
        </w:tc>
        <w:tc>
          <w:tcPr>
            <w:tcW w:type="dxa" w:w="3800"/>
            <w:tcMar>
              <w:top w:type="dxa" w:w="60"/>
              <w:left w:type="dxa" w:w="100"/>
              <w:bottom w:type="dxa" w:w="60"/>
              <w:right w:type="dxa" w:w="100"/>
            </w:tcMar>
            <w:vAlign w:val="center"/>
          </w:tcPr>
          <w:p>
            <w:pPr>
              <w:jc w:val="left"/>
            </w:pPr>
            <w:r>
              <w:rPr>
                <w:b w:val="false"/>
                <w:bCs w:val="false"/>
                <w:sz w:val="18"/>
                <w:szCs w:val="18"/>
              </w:rPr>
              <w:t xml:space="preserve">Opaque refresh-token store; rotated on every /auth/refresh call.</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InviteToken</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orgId, email, role, token (unique), expiresAt, usedAt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One-time staff-invite links (7-day expiry).</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TOTPSecret</w:t>
            </w:r>
          </w:p>
        </w:tc>
        <w:tc>
          <w:tcPr>
            <w:tcW w:type="dxa" w:w="3800"/>
            <w:tcMar>
              <w:top w:type="dxa" w:w="60"/>
              <w:left w:type="dxa" w:w="100"/>
              <w:bottom w:type="dxa" w:w="60"/>
              <w:right w:type="dxa" w:w="100"/>
            </w:tcMar>
            <w:vAlign w:val="center"/>
          </w:tcPr>
          <w:p>
            <w:pPr>
              <w:jc w:val="left"/>
            </w:pPr>
            <w:r>
              <w:rPr>
                <w:b w:val="false"/>
                <w:bCs w:val="false"/>
                <w:sz w:val="18"/>
                <w:szCs w:val="18"/>
              </w:rPr>
              <w:t xml:space="preserve">userId (unique), secret, enabled, backupCodes[]</w:t>
            </w:r>
          </w:p>
        </w:tc>
        <w:tc>
          <w:tcPr>
            <w:tcW w:type="dxa" w:w="3800"/>
            <w:tcMar>
              <w:top w:type="dxa" w:w="60"/>
              <w:left w:type="dxa" w:w="100"/>
              <w:bottom w:type="dxa" w:w="60"/>
              <w:right w:type="dxa" w:w="100"/>
            </w:tcMar>
            <w:vAlign w:val="center"/>
          </w:tcPr>
          <w:p>
            <w:pPr>
              <w:jc w:val="left"/>
            </w:pPr>
            <w:r>
              <w:rPr>
                <w:b w:val="false"/>
                <w:bCs w:val="false"/>
                <w:sz w:val="18"/>
                <w:szCs w:val="18"/>
              </w:rPr>
              <w:t xml:space="preserve">Per-user 2FA secret + 8 single-use backup codes.</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AuditLog</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userId, action, entityType, entityId, changes (JSON)</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Append-only actor/action trail; has no orgId column (see 14.1).</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Comment</w:t>
            </w:r>
          </w:p>
        </w:tc>
        <w:tc>
          <w:tcPr>
            <w:tcW w:type="dxa" w:w="3800"/>
            <w:tcMar>
              <w:top w:type="dxa" w:w="60"/>
              <w:left w:type="dxa" w:w="100"/>
              <w:bottom w:type="dxa" w:w="60"/>
              <w:right w:type="dxa" w:w="100"/>
            </w:tcMar>
            <w:vAlign w:val="center"/>
          </w:tcPr>
          <w:p>
            <w:pPr>
              <w:jc w:val="left"/>
            </w:pPr>
            <w:r>
              <w:rPr>
                <w:b w:val="false"/>
                <w:bCs w:val="false"/>
                <w:sz w:val="18"/>
                <w:szCs w:val="18"/>
              </w:rPr>
              <w:t xml:space="preserve">authorId, entityType (enum: DEAL/TICKET/CONTACT), entityId, body</w:t>
            </w:r>
          </w:p>
        </w:tc>
        <w:tc>
          <w:tcPr>
            <w:tcW w:type="dxa" w:w="3800"/>
            <w:tcMar>
              <w:top w:type="dxa" w:w="60"/>
              <w:left w:type="dxa" w:w="100"/>
              <w:bottom w:type="dxa" w:w="60"/>
              <w:right w:type="dxa" w:w="100"/>
            </w:tcMar>
            <w:vAlign w:val="center"/>
          </w:tcPr>
          <w:p>
            <w:pPr>
              <w:jc w:val="left"/>
            </w:pPr>
            <w:r>
              <w:rPr>
                <w:b w:val="false"/>
                <w:bCs w:val="false"/>
                <w:sz w:val="18"/>
                <w:szCs w:val="18"/>
              </w:rPr>
              <w:t xml:space="preserve">Polymorphic threaded comments shared across CRM and ITDesk records.</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Attachment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uploaderId, entityType, entityId, fileName, fileUrl, fileSize, mimeType</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Polymorphic file-attachment metadata.</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Notification</w:t>
            </w:r>
          </w:p>
        </w:tc>
        <w:tc>
          <w:tcPr>
            <w:tcW w:type="dxa" w:w="3800"/>
            <w:tcMar>
              <w:top w:type="dxa" w:w="60"/>
              <w:left w:type="dxa" w:w="100"/>
              <w:bottom w:type="dxa" w:w="60"/>
              <w:right w:type="dxa" w:w="100"/>
            </w:tcMar>
            <w:vAlign w:val="center"/>
          </w:tcPr>
          <w:p>
            <w:pPr>
              <w:jc w:val="left"/>
            </w:pPr>
            <w:r>
              <w:rPr>
                <w:b w:val="false"/>
                <w:bCs w:val="false"/>
                <w:sz w:val="18"/>
                <w:szCs w:val="18"/>
              </w:rPr>
              <w:t xml:space="preserve">userId, orgId, type, title, body, entityId/entityType, readAt</w:t>
            </w:r>
          </w:p>
        </w:tc>
        <w:tc>
          <w:tcPr>
            <w:tcW w:type="dxa" w:w="3800"/>
            <w:tcMar>
              <w:top w:type="dxa" w:w="60"/>
              <w:left w:type="dxa" w:w="100"/>
              <w:bottom w:type="dxa" w:w="60"/>
              <w:right w:type="dxa" w:w="100"/>
            </w:tcMar>
            <w:vAlign w:val="center"/>
          </w:tcPr>
          <w:p>
            <w:pPr>
              <w:jc w:val="left"/>
            </w:pPr>
            <w:r>
              <w:rPr>
                <w:b w:val="false"/>
                <w:bCs w:val="false"/>
                <w:sz w:val="18"/>
                <w:szCs w:val="18"/>
              </w:rPr>
              <w:t xml:space="preserve">In-app notification-center rows.</w:t>
            </w:r>
          </w:p>
        </w:tc>
      </w:tr>
    </w:tbl>
    <w:p>
      <w:pPr>
        <w:pStyle w:val="Heading2"/>
        <w:spacing w:after="160" w:before="360"/>
      </w:pPr>
      <w:r>
        <w:rPr>
          <w:b/>
          <w:bCs/>
          <w:color w:val="1F2937"/>
          <w:sz w:val="26"/>
          <w:szCs w:val="26"/>
        </w:rPr>
        <w:t xml:space="preserve">2.2 CRM Domain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rPr>
          <w:tblHeader/>
        </w:trPr>
        <w:tc>
          <w:tcPr>
            <w:tcW w:type="dxa" w:w="2000"/>
            <w:shd w:fill="E5E7EB" w:val="clear"/>
            <w:tcMar>
              <w:top w:type="dxa" w:w="60"/>
              <w:left w:type="dxa" w:w="100"/>
              <w:bottom w:type="dxa" w:w="60"/>
              <w:right w:type="dxa" w:w="100"/>
            </w:tcMar>
            <w:vAlign w:val="center"/>
          </w:tcPr>
          <w:p>
            <w:pPr>
              <w:jc w:val="left"/>
            </w:pPr>
            <w:r>
              <w:rPr>
                <w:b/>
                <w:bCs/>
                <w:color w:val="111827"/>
                <w:sz w:val="18"/>
                <w:szCs w:val="18"/>
              </w:rPr>
              <w:t xml:space="preserve">Model</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Key Fields</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Purpose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Account</w:t>
            </w:r>
          </w:p>
        </w:tc>
        <w:tc>
          <w:tcPr>
            <w:tcW w:type="dxa" w:w="3800"/>
            <w:tcMar>
              <w:top w:type="dxa" w:w="60"/>
              <w:left w:type="dxa" w:w="100"/>
              <w:bottom w:type="dxa" w:w="60"/>
              <w:right w:type="dxa" w:w="100"/>
            </w:tcMar>
            <w:vAlign w:val="center"/>
          </w:tcPr>
          <w:p>
            <w:pPr>
              <w:jc w:val="left"/>
            </w:pPr>
            <w:r>
              <w:rPr>
                <w:b w:val="false"/>
                <w:bCs w:val="false"/>
                <w:sz w:val="18"/>
                <w:szCs w:val="18"/>
              </w:rPr>
              <w:t xml:space="preserve">name, industry, website, ownerId, orgId</w:t>
            </w:r>
          </w:p>
        </w:tc>
        <w:tc>
          <w:tcPr>
            <w:tcW w:type="dxa" w:w="3800"/>
            <w:tcMar>
              <w:top w:type="dxa" w:w="60"/>
              <w:left w:type="dxa" w:w="100"/>
              <w:bottom w:type="dxa" w:w="60"/>
              <w:right w:type="dxa" w:w="100"/>
            </w:tcMar>
            <w:vAlign w:val="center"/>
          </w:tcPr>
          <w:p>
            <w:pPr>
              <w:jc w:val="left"/>
            </w:pPr>
            <w:r>
              <w:rPr>
                <w:b w:val="false"/>
                <w:bCs w:val="false"/>
                <w:sz w:val="18"/>
                <w:szCs w:val="18"/>
              </w:rPr>
              <w:t xml:space="preserve">A company/organization record in the CRM (distinct from the platform Organization tenant).</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Contact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name, email, phone, jobTitle, accountId, ownerId, orgId</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An individual person; may belong to an Account.</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Tag / ContactTag / DealTag</w:t>
            </w:r>
          </w:p>
        </w:tc>
        <w:tc>
          <w:tcPr>
            <w:tcW w:type="dxa" w:w="3800"/>
            <w:tcMar>
              <w:top w:type="dxa" w:w="60"/>
              <w:left w:type="dxa" w:w="100"/>
              <w:bottom w:type="dxa" w:w="60"/>
              <w:right w:type="dxa" w:w="100"/>
            </w:tcMar>
            <w:vAlign w:val="center"/>
          </w:tcPr>
          <w:p>
            <w:pPr>
              <w:jc w:val="left"/>
            </w:pPr>
            <w:r>
              <w:rPr>
                <w:b w:val="false"/>
                <w:bCs w:val="false"/>
                <w:sz w:val="18"/>
                <w:szCs w:val="18"/>
              </w:rPr>
              <w:t xml:space="preserve">name, color, module</w:t>
            </w:r>
          </w:p>
        </w:tc>
        <w:tc>
          <w:tcPr>
            <w:tcW w:type="dxa" w:w="3800"/>
            <w:tcMar>
              <w:top w:type="dxa" w:w="60"/>
              <w:left w:type="dxa" w:w="100"/>
              <w:bottom w:type="dxa" w:w="60"/>
              <w:right w:type="dxa" w:w="100"/>
            </w:tcMar>
            <w:vAlign w:val="center"/>
          </w:tcPr>
          <w:p>
            <w:pPr>
              <w:jc w:val="left"/>
            </w:pPr>
            <w:r>
              <w:rPr>
                <w:b w:val="false"/>
                <w:bCs w:val="false"/>
                <w:sz w:val="18"/>
                <w:szCs w:val="18"/>
              </w:rPr>
              <w:t xml:space="preserve">Free-form tagging system for contacts and deals (many-to-many join tables).</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Pipeline</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name, stages (JSON array), isDefault, orgId</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A named ordered list of deal stages; auto-provisioned per org on first deal/lead-conversion.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Lead</w:t>
            </w:r>
          </w:p>
        </w:tc>
        <w:tc>
          <w:tcPr>
            <w:tcW w:type="dxa" w:w="3800"/>
            <w:tcMar>
              <w:top w:type="dxa" w:w="60"/>
              <w:left w:type="dxa" w:w="100"/>
              <w:bottom w:type="dxa" w:w="60"/>
              <w:right w:type="dxa" w:w="100"/>
            </w:tcMar>
            <w:vAlign w:val="center"/>
          </w:tcPr>
          <w:p>
            <w:pPr>
              <w:jc w:val="left"/>
            </w:pPr>
            <w:r>
              <w:rPr>
                <w:b w:val="false"/>
                <w:bCs w:val="false"/>
                <w:sz w:val="18"/>
                <w:szCs w:val="18"/>
              </w:rPr>
              <w:t xml:space="preserve">contactId, source, status (enum), assignedTo, aiScore, aiScoreReason, dealId, convertedAt</w:t>
            </w:r>
          </w:p>
        </w:tc>
        <w:tc>
          <w:tcPr>
            <w:tcW w:type="dxa" w:w="3800"/>
            <w:tcMar>
              <w:top w:type="dxa" w:w="60"/>
              <w:left w:type="dxa" w:w="100"/>
              <w:bottom w:type="dxa" w:w="60"/>
              <w:right w:type="dxa" w:w="100"/>
            </w:tcMar>
            <w:vAlign w:val="center"/>
          </w:tcPr>
          <w:p>
            <w:pPr>
              <w:jc w:val="left"/>
            </w:pPr>
            <w:r>
              <w:rPr>
                <w:b w:val="false"/>
                <w:bCs w:val="false"/>
                <w:sz w:val="18"/>
                <w:szCs w:val="18"/>
              </w:rPr>
              <w:t xml:space="preserve">Pre-sales record. Status machine: NEW → CONTACTED → QUALIFIED → UNQUALIFIED / CONVERTED.</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Deal</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title, value (Decimal 12,2), stage (free text), probability, status (enum), pipelineId, assignedTo</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Sales opportunity. Status: OPEN / WON / LOST.</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DealHistory</w:t>
            </w:r>
          </w:p>
        </w:tc>
        <w:tc>
          <w:tcPr>
            <w:tcW w:type="dxa" w:w="3800"/>
            <w:tcMar>
              <w:top w:type="dxa" w:w="60"/>
              <w:left w:type="dxa" w:w="100"/>
              <w:bottom w:type="dxa" w:w="60"/>
              <w:right w:type="dxa" w:w="100"/>
            </w:tcMar>
            <w:vAlign w:val="center"/>
          </w:tcPr>
          <w:p>
            <w:pPr>
              <w:jc w:val="left"/>
            </w:pPr>
            <w:r>
              <w:rPr>
                <w:b w:val="false"/>
                <w:bCs w:val="false"/>
                <w:sz w:val="18"/>
                <w:szCs w:val="18"/>
              </w:rPr>
              <w:t xml:space="preserve">dealId, fromStage, toStage, changedBy, changedAt</w:t>
            </w:r>
          </w:p>
        </w:tc>
        <w:tc>
          <w:tcPr>
            <w:tcW w:type="dxa" w:w="3800"/>
            <w:tcMar>
              <w:top w:type="dxa" w:w="60"/>
              <w:left w:type="dxa" w:w="100"/>
              <w:bottom w:type="dxa" w:w="60"/>
              <w:right w:type="dxa" w:w="100"/>
            </w:tcMar>
            <w:vAlign w:val="center"/>
          </w:tcPr>
          <w:p>
            <w:pPr>
              <w:jc w:val="left"/>
            </w:pPr>
            <w:r>
              <w:rPr>
                <w:b w:val="false"/>
                <w:bCs w:val="false"/>
                <w:sz w:val="18"/>
                <w:szCs w:val="18"/>
              </w:rPr>
              <w:t xml:space="preserve">Append-only stage-change audit trail per deal.</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Activity</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type (CALL/EMAIL/MEETING/TASK), title, body, dealId, contactId, dueAt, done</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Logged interactions/tasks linkable to a deal or contact.</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Quote / QuoteLine</w:t>
            </w:r>
          </w:p>
        </w:tc>
        <w:tc>
          <w:tcPr>
            <w:tcW w:type="dxa" w:w="3800"/>
            <w:tcMar>
              <w:top w:type="dxa" w:w="60"/>
              <w:left w:type="dxa" w:w="100"/>
              <w:bottom w:type="dxa" w:w="60"/>
              <w:right w:type="dxa" w:w="100"/>
            </w:tcMar>
            <w:vAlign w:val="center"/>
          </w:tcPr>
          <w:p>
            <w:pPr>
              <w:jc w:val="left"/>
            </w:pPr>
            <w:r>
              <w:rPr>
                <w:b w:val="false"/>
                <w:bCs w:val="false"/>
                <w:sz w:val="18"/>
                <w:szCs w:val="18"/>
              </w:rPr>
              <w:t xml:space="preserve">title, status, dealId; description, quantity, unitPrice, discount</w:t>
            </w:r>
          </w:p>
        </w:tc>
        <w:tc>
          <w:tcPr>
            <w:tcW w:type="dxa" w:w="3800"/>
            <w:tcMar>
              <w:top w:type="dxa" w:w="60"/>
              <w:left w:type="dxa" w:w="100"/>
              <w:bottom w:type="dxa" w:w="60"/>
              <w:right w:type="dxa" w:w="100"/>
            </w:tcMar>
            <w:vAlign w:val="center"/>
          </w:tcPr>
          <w:p>
            <w:pPr>
              <w:jc w:val="left"/>
            </w:pPr>
            <w:r>
              <w:rPr>
                <w:b w:val="false"/>
                <w:bCs w:val="false"/>
                <w:sz w:val="18"/>
                <w:szCs w:val="18"/>
              </w:rPr>
              <w:t xml:space="preserve">Sales quotes with nested line items. Status: DRAFT → SENT → ACCEPTED/REJECTED.</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Campaign</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name, subject, body, targetType (LEADS/CONTACTS), status, sentCount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Bulk email campaign definition and send tracking.</w:t>
            </w:r>
          </w:p>
        </w:tc>
      </w:tr>
    </w:tbl>
    <w:p>
      <w:pPr>
        <w:pStyle w:val="Heading2"/>
        <w:spacing w:after="160" w:before="360"/>
      </w:pPr>
      <w:r>
        <w:rPr>
          <w:b/>
          <w:bCs/>
          <w:color w:val="1F2937"/>
          <w:sz w:val="26"/>
          <w:szCs w:val="26"/>
        </w:rPr>
        <w:t xml:space="preserve">2.3 IT Help Desk Domain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rPr>
          <w:tblHeader/>
        </w:trPr>
        <w:tc>
          <w:tcPr>
            <w:tcW w:type="dxa" w:w="2000"/>
            <w:shd w:fill="E5E7EB" w:val="clear"/>
            <w:tcMar>
              <w:top w:type="dxa" w:w="60"/>
              <w:left w:type="dxa" w:w="100"/>
              <w:bottom w:type="dxa" w:w="60"/>
              <w:right w:type="dxa" w:w="100"/>
            </w:tcMar>
            <w:vAlign w:val="center"/>
          </w:tcPr>
          <w:p>
            <w:pPr>
              <w:jc w:val="left"/>
            </w:pPr>
            <w:r>
              <w:rPr>
                <w:b/>
                <w:bCs/>
                <w:color w:val="111827"/>
                <w:sz w:val="18"/>
                <w:szCs w:val="18"/>
              </w:rPr>
              <w:t xml:space="preserve">Model</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Key Fields</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Purpose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Category</w:t>
            </w:r>
          </w:p>
        </w:tc>
        <w:tc>
          <w:tcPr>
            <w:tcW w:type="dxa" w:w="3800"/>
            <w:tcMar>
              <w:top w:type="dxa" w:w="60"/>
              <w:left w:type="dxa" w:w="100"/>
              <w:bottom w:type="dxa" w:w="60"/>
              <w:right w:type="dxa" w:w="100"/>
            </w:tcMar>
            <w:vAlign w:val="center"/>
          </w:tcPr>
          <w:p>
            <w:pPr>
              <w:jc w:val="left"/>
            </w:pPr>
            <w:r>
              <w:rPr>
                <w:b w:val="false"/>
                <w:bCs w:val="false"/>
                <w:sz w:val="18"/>
                <w:szCs w:val="18"/>
              </w:rPr>
              <w:t xml:space="preserve">name, parentId (self-relation), slaPolicyId, autoAssignGroup</w:t>
            </w:r>
          </w:p>
        </w:tc>
        <w:tc>
          <w:tcPr>
            <w:tcW w:type="dxa" w:w="3800"/>
            <w:tcMar>
              <w:top w:type="dxa" w:w="60"/>
              <w:left w:type="dxa" w:w="100"/>
              <w:bottom w:type="dxa" w:w="60"/>
              <w:right w:type="dxa" w:w="100"/>
            </w:tcMar>
            <w:vAlign w:val="center"/>
          </w:tcPr>
          <w:p>
            <w:pPr>
              <w:jc w:val="left"/>
            </w:pPr>
            <w:r>
              <w:rPr>
                <w:b w:val="false"/>
                <w:bCs w:val="false"/>
                <w:sz w:val="18"/>
                <w:szCs w:val="18"/>
              </w:rPr>
              <w:t xml:space="preserve">Hierarchical ticket taxonomy, optionally bound to an SLA policy.</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SlaPolicy</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name, responseHours, resolutionHours, priorityOverrides (JSON)</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SLA targets consumed when a ticket is created under a linked category.</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Ticket</w:t>
            </w:r>
          </w:p>
        </w:tc>
        <w:tc>
          <w:tcPr>
            <w:tcW w:type="dxa" w:w="3800"/>
            <w:tcMar>
              <w:top w:type="dxa" w:w="60"/>
              <w:left w:type="dxa" w:w="100"/>
              <w:bottom w:type="dxa" w:w="60"/>
              <w:right w:type="dxa" w:w="100"/>
            </w:tcMar>
            <w:vAlign w:val="center"/>
          </w:tcPr>
          <w:p>
            <w:pPr>
              <w:jc w:val="left"/>
            </w:pPr>
            <w:r>
              <w:rPr>
                <w:b w:val="false"/>
                <w:bCs w:val="false"/>
                <w:sz w:val="18"/>
                <w:szCs w:val="18"/>
              </w:rPr>
              <w:t xml:space="preserve">title, body, categoryId, priority (enum), status (enum), requesterId, assignedTo, slaDueAt, resolvedAt, closedAt, sentiment, portalUserId</w:t>
            </w:r>
          </w:p>
        </w:tc>
        <w:tc>
          <w:tcPr>
            <w:tcW w:type="dxa" w:w="3800"/>
            <w:tcMar>
              <w:top w:type="dxa" w:w="60"/>
              <w:left w:type="dxa" w:w="100"/>
              <w:bottom w:type="dxa" w:w="60"/>
              <w:right w:type="dxa" w:w="100"/>
            </w:tcMar>
            <w:vAlign w:val="center"/>
          </w:tcPr>
          <w:p>
            <w:pPr>
              <w:jc w:val="left"/>
            </w:pPr>
            <w:r>
              <w:rPr>
                <w:b w:val="false"/>
                <w:bCs w:val="false"/>
                <w:sz w:val="18"/>
                <w:szCs w:val="18"/>
              </w:rPr>
              <w:t xml:space="preserve">Core helpdesk record. Status: OPEN → IN_PROGRESS → PENDING → RESOLVED → CLOSED.</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TicketHistory</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ticketId, fromStatus, toStatus, changedBy, changedAt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Append-only status-change trail per ticket.</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SlaBreaches</w:t>
            </w:r>
          </w:p>
        </w:tc>
        <w:tc>
          <w:tcPr>
            <w:tcW w:type="dxa" w:w="3800"/>
            <w:tcMar>
              <w:top w:type="dxa" w:w="60"/>
              <w:left w:type="dxa" w:w="100"/>
              <w:bottom w:type="dxa" w:w="60"/>
              <w:right w:type="dxa" w:w="100"/>
            </w:tcMar>
            <w:vAlign w:val="center"/>
          </w:tcPr>
          <w:p>
            <w:pPr>
              <w:jc w:val="left"/>
            </w:pPr>
            <w:r>
              <w:rPr>
                <w:b w:val="false"/>
                <w:bCs w:val="false"/>
                <w:sz w:val="18"/>
                <w:szCs w:val="18"/>
              </w:rPr>
              <w:t xml:space="preserve">ticketId, breachType (RESPONSE/RESOLUTION), breachedAt</w:t>
            </w:r>
          </w:p>
        </w:tc>
        <w:tc>
          <w:tcPr>
            <w:tcW w:type="dxa" w:w="3800"/>
            <w:tcMar>
              <w:top w:type="dxa" w:w="60"/>
              <w:left w:type="dxa" w:w="100"/>
              <w:bottom w:type="dxa" w:w="60"/>
              <w:right w:type="dxa" w:w="100"/>
            </w:tcMar>
            <w:vAlign w:val="center"/>
          </w:tcPr>
          <w:p>
            <w:pPr>
              <w:jc w:val="left"/>
            </w:pPr>
            <w:r>
              <w:rPr>
                <w:b w:val="false"/>
                <w:bCs w:val="false"/>
                <w:sz w:val="18"/>
                <w:szCs w:val="18"/>
              </w:rPr>
              <w:t xml:space="preserve">Recorded SLA violations.</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KnowledgeArticle</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title, body, categoryId, status (enum), authorId, publishedAt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KB article. Status: DRAFT → PUBLISHED → ARCHIVED; also used as AI RAG context.</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Asset / TicketAsset</w:t>
            </w:r>
          </w:p>
        </w:tc>
        <w:tc>
          <w:tcPr>
            <w:tcW w:type="dxa" w:w="3800"/>
            <w:tcMar>
              <w:top w:type="dxa" w:w="60"/>
              <w:left w:type="dxa" w:w="100"/>
              <w:bottom w:type="dxa" w:w="60"/>
              <w:right w:type="dxa" w:w="100"/>
            </w:tcMar>
            <w:vAlign w:val="center"/>
          </w:tcPr>
          <w:p>
            <w:pPr>
              <w:jc w:val="left"/>
            </w:pPr>
            <w:r>
              <w:rPr>
                <w:b w:val="false"/>
                <w:bCs w:val="false"/>
                <w:sz w:val="18"/>
                <w:szCs w:val="18"/>
              </w:rPr>
              <w:t xml:space="preserve">name, type, serialNumber, assignedTo, status, purchaseDate</w:t>
            </w:r>
          </w:p>
        </w:tc>
        <w:tc>
          <w:tcPr>
            <w:tcW w:type="dxa" w:w="3800"/>
            <w:tcMar>
              <w:top w:type="dxa" w:w="60"/>
              <w:left w:type="dxa" w:w="100"/>
              <w:bottom w:type="dxa" w:w="60"/>
              <w:right w:type="dxa" w:w="100"/>
            </w:tcMar>
            <w:vAlign w:val="center"/>
          </w:tcPr>
          <w:p>
            <w:pPr>
              <w:jc w:val="left"/>
            </w:pPr>
            <w:r>
              <w:rPr>
                <w:b w:val="false"/>
                <w:bCs w:val="false"/>
                <w:sz w:val="18"/>
                <w:szCs w:val="18"/>
              </w:rPr>
              <w:t xml:space="preserve">IT inventory items, optionally linked to one or more tickets.</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ChangeRequest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title, description, type (NORMAL/EMERGENCY/STANDARD), priority, status, requestedBy, assignedTo, approvedBy/rejectedBy</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ITIL-style change management record with an approve/reject gate.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TimeEntry</w:t>
            </w:r>
          </w:p>
        </w:tc>
        <w:tc>
          <w:tcPr>
            <w:tcW w:type="dxa" w:w="3800"/>
            <w:tcMar>
              <w:top w:type="dxa" w:w="60"/>
              <w:left w:type="dxa" w:w="100"/>
              <w:bottom w:type="dxa" w:w="60"/>
              <w:right w:type="dxa" w:w="100"/>
            </w:tcMar>
            <w:vAlign w:val="center"/>
          </w:tcPr>
          <w:p>
            <w:pPr>
              <w:jc w:val="left"/>
            </w:pPr>
            <w:r>
              <w:rPr>
                <w:b w:val="false"/>
                <w:bCs w:val="false"/>
                <w:sz w:val="18"/>
                <w:szCs w:val="18"/>
              </w:rPr>
              <w:t xml:space="preserve">ticketId, userId, minutes (1-1440), description, loggedAt</w:t>
            </w:r>
          </w:p>
        </w:tc>
        <w:tc>
          <w:tcPr>
            <w:tcW w:type="dxa" w:w="3800"/>
            <w:tcMar>
              <w:top w:type="dxa" w:w="60"/>
              <w:left w:type="dxa" w:w="100"/>
              <w:bottom w:type="dxa" w:w="60"/>
              <w:right w:type="dxa" w:w="100"/>
            </w:tcMar>
            <w:vAlign w:val="center"/>
          </w:tcPr>
          <w:p>
            <w:pPr>
              <w:jc w:val="left"/>
            </w:pPr>
            <w:r>
              <w:rPr>
                <w:b w:val="false"/>
                <w:bCs w:val="false"/>
                <w:sz w:val="18"/>
                <w:szCs w:val="18"/>
              </w:rPr>
              <w:t xml:space="preserve">Per-ticket time-tracking log line.</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CsatResponse</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ticketId, rating (1-5), comment, submittedAt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One customer-satisfaction survey response per resolved ticket.</w:t>
            </w:r>
          </w:p>
        </w:tc>
      </w:tr>
    </w:tbl>
    <w:p>
      <w:pPr>
        <w:pStyle w:val="Heading2"/>
        <w:spacing w:after="160" w:before="360"/>
      </w:pPr>
      <w:r>
        <w:rPr>
          <w:b/>
          <w:bCs/>
          <w:color w:val="1F2937"/>
          <w:sz w:val="26"/>
          <w:szCs w:val="26"/>
        </w:rPr>
        <w:t xml:space="preserve">2.4 Inbox, Notifications &amp; Integrations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rPr>
          <w:tblHeader/>
        </w:trPr>
        <w:tc>
          <w:tcPr>
            <w:tcW w:type="dxa" w:w="2000"/>
            <w:shd w:fill="E5E7EB" w:val="clear"/>
            <w:tcMar>
              <w:top w:type="dxa" w:w="60"/>
              <w:left w:type="dxa" w:w="100"/>
              <w:bottom w:type="dxa" w:w="60"/>
              <w:right w:type="dxa" w:w="100"/>
            </w:tcMar>
            <w:vAlign w:val="center"/>
          </w:tcPr>
          <w:p>
            <w:pPr>
              <w:jc w:val="left"/>
            </w:pPr>
            <w:r>
              <w:rPr>
                <w:b/>
                <w:bCs/>
                <w:color w:val="111827"/>
                <w:sz w:val="18"/>
                <w:szCs w:val="18"/>
              </w:rPr>
              <w:t xml:space="preserve">Model</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Key Fields</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Purpose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EmailAccount</w:t>
            </w:r>
          </w:p>
        </w:tc>
        <w:tc>
          <w:tcPr>
            <w:tcW w:type="dxa" w:w="3800"/>
            <w:tcMar>
              <w:top w:type="dxa" w:w="60"/>
              <w:left w:type="dxa" w:w="100"/>
              <w:bottom w:type="dxa" w:w="60"/>
              <w:right w:type="dxa" w:w="100"/>
            </w:tcMar>
            <w:vAlign w:val="center"/>
          </w:tcPr>
          <w:p>
            <w:pPr>
              <w:jc w:val="left"/>
            </w:pPr>
            <w:r>
              <w:rPr>
                <w:b w:val="false"/>
                <w:bCs w:val="false"/>
                <w:sz w:val="18"/>
                <w:szCs w:val="18"/>
              </w:rPr>
              <w:t xml:space="preserve">orgId (unique), email, imapHost/Port, smtpHost/Port, password, lastSyncAt</w:t>
            </w:r>
          </w:p>
        </w:tc>
        <w:tc>
          <w:tcPr>
            <w:tcW w:type="dxa" w:w="3800"/>
            <w:tcMar>
              <w:top w:type="dxa" w:w="60"/>
              <w:left w:type="dxa" w:w="100"/>
              <w:bottom w:type="dxa" w:w="60"/>
              <w:right w:type="dxa" w:w="100"/>
            </w:tcMar>
            <w:vAlign w:val="center"/>
          </w:tcPr>
          <w:p>
            <w:pPr>
              <w:jc w:val="left"/>
            </w:pPr>
            <w:r>
              <w:rPr>
                <w:b w:val="false"/>
                <w:bCs w:val="false"/>
                <w:sz w:val="18"/>
                <w:szCs w:val="18"/>
              </w:rPr>
              <w:t xml:space="preserve">One connected mailbox per org (IMAP for receive, SMTP for send). Password stored in plain text (see 14.1).</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WhatsAppConfig</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orgId (unique), accountSid, authToken, phoneNumber</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One connected Twilio WhatsApp sender number per org.</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Conversation / Message</w:t>
            </w:r>
          </w:p>
        </w:tc>
        <w:tc>
          <w:tcPr>
            <w:tcW w:type="dxa" w:w="3800"/>
            <w:tcMar>
              <w:top w:type="dxa" w:w="60"/>
              <w:left w:type="dxa" w:w="100"/>
              <w:bottom w:type="dxa" w:w="60"/>
              <w:right w:type="dxa" w:w="100"/>
            </w:tcMar>
            <w:vAlign w:val="center"/>
          </w:tcPr>
          <w:p>
            <w:pPr>
              <w:jc w:val="left"/>
            </w:pPr>
            <w:r>
              <w:rPr>
                <w:b w:val="false"/>
                <w:bCs w:val="false"/>
                <w:sz w:val="18"/>
                <w:szCs w:val="18"/>
              </w:rPr>
              <w:t xml:space="preserve">channel, contactName/Email/Phone, status, assignedTo, unreadCount; direction, fromAddress, toAddress, body, externalId</w:t>
            </w:r>
          </w:p>
        </w:tc>
        <w:tc>
          <w:tcPr>
            <w:tcW w:type="dxa" w:w="3800"/>
            <w:tcMar>
              <w:top w:type="dxa" w:w="60"/>
              <w:left w:type="dxa" w:w="100"/>
              <w:bottom w:type="dxa" w:w="60"/>
              <w:right w:type="dxa" w:w="100"/>
            </w:tcMar>
            <w:vAlign w:val="center"/>
          </w:tcPr>
          <w:p>
            <w:pPr>
              <w:jc w:val="left"/>
            </w:pPr>
            <w:r>
              <w:rPr>
                <w:b w:val="false"/>
                <w:bCs w:val="false"/>
                <w:sz w:val="18"/>
                <w:szCs w:val="18"/>
              </w:rPr>
              <w:t xml:space="preserve">Unified inbox thread and message models shared by both channels.</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SlackConfig / TeamsConfig</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webhookUrl, channel (Slack only), five notifyOn* booleans</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Per-org outgoing webhook configuration for chat notifications.</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Subscription</w:t>
            </w:r>
          </w:p>
        </w:tc>
        <w:tc>
          <w:tcPr>
            <w:tcW w:type="dxa" w:w="3800"/>
            <w:tcMar>
              <w:top w:type="dxa" w:w="60"/>
              <w:left w:type="dxa" w:w="100"/>
              <w:bottom w:type="dxa" w:w="60"/>
              <w:right w:type="dxa" w:w="100"/>
            </w:tcMar>
            <w:vAlign w:val="center"/>
          </w:tcPr>
          <w:p>
            <w:pPr>
              <w:jc w:val="left"/>
            </w:pPr>
            <w:r>
              <w:rPr>
                <w:b w:val="false"/>
                <w:bCs w:val="false"/>
                <w:sz w:val="18"/>
                <w:szCs w:val="18"/>
              </w:rPr>
              <w:t xml:space="preserve">orgId (unique), stripeCustomerId, stripeSubscriptionId, plan, status, seats, cancelAtPeriodEnd</w:t>
            </w:r>
          </w:p>
        </w:tc>
        <w:tc>
          <w:tcPr>
            <w:tcW w:type="dxa" w:w="3800"/>
            <w:tcMar>
              <w:top w:type="dxa" w:w="60"/>
              <w:left w:type="dxa" w:w="100"/>
              <w:bottom w:type="dxa" w:w="60"/>
              <w:right w:type="dxa" w:w="100"/>
            </w:tcMar>
            <w:vAlign w:val="center"/>
          </w:tcPr>
          <w:p>
            <w:pPr>
              <w:jc w:val="left"/>
            </w:pPr>
            <w:r>
              <w:rPr>
                <w:b w:val="false"/>
                <w:bCs w:val="false"/>
                <w:sz w:val="18"/>
                <w:szCs w:val="18"/>
              </w:rPr>
              <w:t xml:space="preserve">Stripe-backed billing state; auto-created as FREE/5-seat if absent.</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ApiKey</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orgId, keyHash (unique), keyPrefix, scopes[] (read/write/admin), expiresAt, lastUsedAt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Programmatic API access; raw key shown once at creation, only its hash persisted.</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OrgBranding</w:t>
            </w:r>
          </w:p>
        </w:tc>
        <w:tc>
          <w:tcPr>
            <w:tcW w:type="dxa" w:w="3800"/>
            <w:tcMar>
              <w:top w:type="dxa" w:w="60"/>
              <w:left w:type="dxa" w:w="100"/>
              <w:bottom w:type="dxa" w:w="60"/>
              <w:right w:type="dxa" w:w="100"/>
            </w:tcMar>
            <w:vAlign w:val="center"/>
          </w:tcPr>
          <w:p>
            <w:pPr>
              <w:jc w:val="left"/>
            </w:pPr>
            <w:r>
              <w:rPr>
                <w:b w:val="false"/>
                <w:bCs w:val="false"/>
                <w:sz w:val="18"/>
                <w:szCs w:val="18"/>
              </w:rPr>
              <w:t xml:space="preserve">orgId (unique), logoUrl, primaryColor, portalTitle, portalWelcome, supportEmail</w:t>
            </w:r>
          </w:p>
        </w:tc>
        <w:tc>
          <w:tcPr>
            <w:tcW w:type="dxa" w:w="3800"/>
            <w:tcMar>
              <w:top w:type="dxa" w:w="60"/>
              <w:left w:type="dxa" w:w="100"/>
              <w:bottom w:type="dxa" w:w="60"/>
              <w:right w:type="dxa" w:w="100"/>
            </w:tcMar>
            <w:vAlign w:val="center"/>
          </w:tcPr>
          <w:p>
            <w:pPr>
              <w:jc w:val="left"/>
            </w:pPr>
            <w:r>
              <w:rPr>
                <w:b w:val="false"/>
                <w:bCs w:val="false"/>
                <w:sz w:val="18"/>
                <w:szCs w:val="18"/>
              </w:rPr>
              <w:t xml:space="preserve">White-label styling for the customer portal.</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CustomField / CustomFieldValue</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entityType, label, fieldKey, fieldType (TEXT/NUMBER/DATE/SELECT/BOOLEAN), options</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Admin-defined extra attributes on Ticket/Contact/Deal/Lead, stored as key/value pairs.</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PortalUser / PortalToken</w:t>
            </w:r>
          </w:p>
        </w:tc>
        <w:tc>
          <w:tcPr>
            <w:tcW w:type="dxa" w:w="3800"/>
            <w:tcMar>
              <w:top w:type="dxa" w:w="60"/>
              <w:left w:type="dxa" w:w="100"/>
              <w:bottom w:type="dxa" w:w="60"/>
              <w:right w:type="dxa" w:w="100"/>
            </w:tcMar>
            <w:vAlign w:val="center"/>
          </w:tcPr>
          <w:p>
            <w:pPr>
              <w:jc w:val="left"/>
            </w:pPr>
            <w:r>
              <w:rPr>
                <w:b w:val="false"/>
                <w:bCs w:val="false"/>
                <w:sz w:val="18"/>
                <w:szCs w:val="18"/>
              </w:rPr>
              <w:t xml:space="preserve">orgId+email (unique pair), isActive, lastLoginAt; tokenHash, expiresAt, usedAt</w:t>
            </w:r>
          </w:p>
        </w:tc>
        <w:tc>
          <w:tcPr>
            <w:tcW w:type="dxa" w:w="3800"/>
            <w:tcMar>
              <w:top w:type="dxa" w:w="60"/>
              <w:left w:type="dxa" w:w="100"/>
              <w:bottom w:type="dxa" w:w="60"/>
              <w:right w:type="dxa" w:w="100"/>
            </w:tcMar>
            <w:vAlign w:val="center"/>
          </w:tcPr>
          <w:p>
            <w:pPr>
              <w:jc w:val="left"/>
            </w:pPr>
            <w:r>
              <w:rPr>
                <w:b w:val="false"/>
                <w:bCs w:val="false"/>
                <w:sz w:val="18"/>
                <w:szCs w:val="18"/>
              </w:rPr>
              <w:t xml:space="preserve">Customer self-service portal identity — entirely separate from staff User.</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WorkflowRule / WorkflowLog</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trigger, conditions (JSON), actions (JSON), isActive, runCount; result, detail</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No-code automation rule definitions and their execution history.</w:t>
            </w:r>
          </w:p>
        </w:tc>
      </w:tr>
    </w:tbl>
    <w:p>
      <w:pPr>
        <w:pStyle w:val="Heading2"/>
        <w:spacing w:after="160" w:before="360"/>
      </w:pPr>
      <w:r>
        <w:rPr>
          <w:b/>
          <w:bCs/>
          <w:color w:val="1F2937"/>
          <w:sz w:val="26"/>
          <w:szCs w:val="26"/>
        </w:rPr>
        <w:t xml:space="preserve">2.5 AI Studio Domain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rPr>
          <w:tblHeader/>
        </w:trPr>
        <w:tc>
          <w:tcPr>
            <w:tcW w:type="dxa" w:w="2000"/>
            <w:shd w:fill="E5E7EB" w:val="clear"/>
            <w:tcMar>
              <w:top w:type="dxa" w:w="60"/>
              <w:left w:type="dxa" w:w="100"/>
              <w:bottom w:type="dxa" w:w="60"/>
              <w:right w:type="dxa" w:w="100"/>
            </w:tcMar>
            <w:vAlign w:val="center"/>
          </w:tcPr>
          <w:p>
            <w:pPr>
              <w:jc w:val="left"/>
            </w:pPr>
            <w:r>
              <w:rPr>
                <w:b/>
                <w:bCs/>
                <w:color w:val="111827"/>
                <w:sz w:val="18"/>
                <w:szCs w:val="18"/>
              </w:rPr>
              <w:t xml:space="preserve">Model</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Key Fields</w:t>
            </w:r>
          </w:p>
        </w:tc>
        <w:tc>
          <w:tcPr>
            <w:tcW w:type="dxa" w:w="3800"/>
            <w:shd w:fill="E5E7EB" w:val="clear"/>
            <w:tcMar>
              <w:top w:type="dxa" w:w="60"/>
              <w:left w:type="dxa" w:w="100"/>
              <w:bottom w:type="dxa" w:w="60"/>
              <w:right w:type="dxa" w:w="100"/>
            </w:tcMar>
            <w:vAlign w:val="center"/>
          </w:tcPr>
          <w:p>
            <w:pPr>
              <w:jc w:val="left"/>
            </w:pPr>
            <w:r>
              <w:rPr>
                <w:b/>
                <w:bCs/>
                <w:color w:val="111827"/>
                <w:sz w:val="18"/>
                <w:szCs w:val="18"/>
              </w:rPr>
              <w:t xml:space="preserve">Purpose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BusinessContext</w:t>
            </w:r>
          </w:p>
        </w:tc>
        <w:tc>
          <w:tcPr>
            <w:tcW w:type="dxa" w:w="3800"/>
            <w:tcMar>
              <w:top w:type="dxa" w:w="60"/>
              <w:left w:type="dxa" w:w="100"/>
              <w:bottom w:type="dxa" w:w="60"/>
              <w:right w:type="dxa" w:w="100"/>
            </w:tcMar>
            <w:vAlign w:val="center"/>
          </w:tcPr>
          <w:p>
            <w:pPr>
              <w:jc w:val="left"/>
            </w:pPr>
            <w:r>
              <w:rPr>
                <w:b w:val="false"/>
                <w:bCs w:val="false"/>
                <w:sz w:val="18"/>
                <w:szCs w:val="18"/>
              </w:rPr>
              <w:t xml:space="preserve">orgId (unique), industry, companyDesc, terminology (JSON map), customSystem, tone</w:t>
            </w:r>
          </w:p>
        </w:tc>
        <w:tc>
          <w:tcPr>
            <w:tcW w:type="dxa" w:w="3800"/>
            <w:tcMar>
              <w:top w:type="dxa" w:w="60"/>
              <w:left w:type="dxa" w:w="100"/>
              <w:bottom w:type="dxa" w:w="60"/>
              <w:right w:type="dxa" w:w="100"/>
            </w:tcMar>
            <w:vAlign w:val="center"/>
          </w:tcPr>
          <w:p>
            <w:pPr>
              <w:jc w:val="left"/>
            </w:pPr>
            <w:r>
              <w:rPr>
                <w:b w:val="false"/>
                <w:bCs w:val="false"/>
                <w:sz w:val="18"/>
                <w:szCs w:val="18"/>
              </w:rPr>
              <w:t xml:space="preserve">Org-wide AI persona injected as a system-prompt prefix ahead of every AI call.</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CustomAIFunction</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name, systemPrompt, inputSchema (JSON), outputType (text/json/number), runCount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User-authored, reusable AI "function" with typed inputs, runnable on demand.</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CustomScript</w:t>
            </w:r>
          </w:p>
        </w:tc>
        <w:tc>
          <w:tcPr>
            <w:tcW w:type="dxa" w:w="3800"/>
            <w:tcMar>
              <w:top w:type="dxa" w:w="60"/>
              <w:left w:type="dxa" w:w="100"/>
              <w:bottom w:type="dxa" w:w="60"/>
              <w:right w:type="dxa" w:w="100"/>
            </w:tcMar>
            <w:vAlign w:val="center"/>
          </w:tcPr>
          <w:p>
            <w:pPr>
              <w:jc w:val="left"/>
            </w:pPr>
            <w:r>
              <w:rPr>
                <w:b w:val="false"/>
                <w:bCs w:val="false"/>
                <w:sz w:val="18"/>
                <w:szCs w:val="18"/>
              </w:rPr>
              <w:t xml:space="preserve">entityType, trigger (onLoad/onChange/onSubmit/onValidate/onFieldChange), fieldTarget, script (JS source)</w:t>
            </w:r>
          </w:p>
        </w:tc>
        <w:tc>
          <w:tcPr>
            <w:tcW w:type="dxa" w:w="3800"/>
            <w:tcMar>
              <w:top w:type="dxa" w:w="60"/>
              <w:left w:type="dxa" w:w="100"/>
              <w:bottom w:type="dxa" w:w="60"/>
              <w:right w:type="dxa" w:w="100"/>
            </w:tcMar>
            <w:vAlign w:val="center"/>
          </w:tcPr>
          <w:p>
            <w:pPr>
              <w:jc w:val="left"/>
            </w:pPr>
            <w:r>
              <w:rPr>
                <w:b w:val="false"/>
                <w:bCs w:val="false"/>
                <w:sz w:val="18"/>
                <w:szCs w:val="18"/>
              </w:rPr>
              <w:t xml:space="preserve">Tenant-authored JavaScript executed client-side inside a sandboxed script engine.</w:t>
            </w:r>
          </w:p>
        </w:tc>
      </w:tr>
      <w:tr>
        <w:tc>
          <w:tcPr>
            <w:tcW w:type="dxa" w:w="2000"/>
            <w:shd w:fill="F9FAFB" w:val="clear"/>
            <w:tcMar>
              <w:top w:type="dxa" w:w="60"/>
              <w:left w:type="dxa" w:w="100"/>
              <w:bottom w:type="dxa" w:w="60"/>
              <w:right w:type="dxa" w:w="100"/>
            </w:tcMar>
            <w:vAlign w:val="center"/>
          </w:tcPr>
          <w:p>
            <w:pPr>
              <w:jc w:val="left"/>
            </w:pPr>
            <w:r>
              <w:rPr>
                <w:b w:val="false"/>
                <w:bCs w:val="false"/>
                <w:sz w:val="18"/>
                <w:szCs w:val="18"/>
              </w:rPr>
              <w:t xml:space="preserve">AICustomRule</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trigger, action, customPrompt, outputField, runCount, lastRunAt</w:t>
            </w:r>
          </w:p>
        </w:tc>
        <w:tc>
          <w:tcPr>
            <w:tcW w:type="dxa" w:w="3800"/>
            <w:shd w:fill="F9FAFB" w:val="clear"/>
            <w:tcMar>
              <w:top w:type="dxa" w:w="60"/>
              <w:left w:type="dxa" w:w="100"/>
              <w:bottom w:type="dxa" w:w="60"/>
              <w:right w:type="dxa" w:w="100"/>
            </w:tcMar>
            <w:vAlign w:val="center"/>
          </w:tcPr>
          <w:p>
            <w:pPr>
              <w:jc w:val="left"/>
            </w:pPr>
            <w:r>
              <w:rPr>
                <w:b w:val="false"/>
                <w:bCs w:val="false"/>
                <w:sz w:val="18"/>
                <w:szCs w:val="18"/>
              </w:rPr>
              <w:t xml:space="preserve">The "AI Feature Builder" trigger → AI-action automation rules.</w:t>
            </w:r>
          </w:p>
        </w:tc>
      </w:tr>
    </w:tbl>
    <w:p>
      <w:pPr>
        <w:pStyle w:val="Heading2"/>
        <w:spacing w:after="160" w:before="360"/>
      </w:pPr>
      <w:r>
        <w:rPr>
          <w:b/>
          <w:bCs/>
          <w:color w:val="1F2937"/>
          <w:sz w:val="26"/>
          <w:szCs w:val="26"/>
        </w:rPr>
        <w:t xml:space="preserve">2.6 Enumerations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E5E7EB" w:val="clear"/>
            <w:tcMar>
              <w:top w:type="dxa" w:w="60"/>
              <w:left w:type="dxa" w:w="100"/>
              <w:bottom w:type="dxa" w:w="60"/>
              <w:right w:type="dxa" w:w="100"/>
            </w:tcMar>
            <w:vAlign w:val="center"/>
          </w:tcPr>
          <w:p>
            <w:pPr>
              <w:jc w:val="left"/>
            </w:pPr>
            <w:r>
              <w:rPr>
                <w:b/>
                <w:bCs/>
                <w:color w:val="111827"/>
                <w:sz w:val="18"/>
                <w:szCs w:val="18"/>
              </w:rPr>
              <w:t xml:space="preserve">Enum</w:t>
            </w:r>
          </w:p>
        </w:tc>
        <w:tc>
          <w:tcPr>
            <w:tcW w:type="dxa" w:w="7000"/>
            <w:shd w:fill="E5E7EB" w:val="clear"/>
            <w:tcMar>
              <w:top w:type="dxa" w:w="60"/>
              <w:left w:type="dxa" w:w="100"/>
              <w:bottom w:type="dxa" w:w="60"/>
              <w:right w:type="dxa" w:w="100"/>
            </w:tcMar>
            <w:vAlign w:val="center"/>
          </w:tcPr>
          <w:p>
            <w:pPr>
              <w:jc w:val="left"/>
            </w:pPr>
            <w:r>
              <w:rPr>
                <w:b/>
                <w:bCs/>
                <w:color w:val="111827"/>
                <w:sz w:val="18"/>
                <w:szCs w:val="18"/>
              </w:rPr>
              <w:t xml:space="preserve">Values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UserRole</w:t>
            </w:r>
          </w:p>
        </w:tc>
        <w:tc>
          <w:tcPr>
            <w:tcW w:type="dxa" w:w="7000"/>
            <w:tcMar>
              <w:top w:type="dxa" w:w="60"/>
              <w:left w:type="dxa" w:w="100"/>
              <w:bottom w:type="dxa" w:w="60"/>
              <w:right w:type="dxa" w:w="100"/>
            </w:tcMar>
            <w:vAlign w:val="center"/>
          </w:tcPr>
          <w:p>
            <w:pPr>
              <w:jc w:val="left"/>
            </w:pPr>
            <w:r>
              <w:rPr>
                <w:b w:val="false"/>
                <w:bCs w:val="false"/>
                <w:sz w:val="18"/>
                <w:szCs w:val="18"/>
              </w:rPr>
              <w:t xml:space="preserve">SUPER_ADMIN, CRM_MANAGER, SALES_REP, IT_MANAGER, IT_AGENT, EMPLOYEE</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LeadStatus</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NEW, CONTACTED, QUALIFIED, UNQUALIFIED, CONVERTED</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DealStatus</w:t>
            </w:r>
          </w:p>
        </w:tc>
        <w:tc>
          <w:tcPr>
            <w:tcW w:type="dxa" w:w="7000"/>
            <w:tcMar>
              <w:top w:type="dxa" w:w="60"/>
              <w:left w:type="dxa" w:w="100"/>
              <w:bottom w:type="dxa" w:w="60"/>
              <w:right w:type="dxa" w:w="100"/>
            </w:tcMar>
            <w:vAlign w:val="center"/>
          </w:tcPr>
          <w:p>
            <w:pPr>
              <w:jc w:val="left"/>
            </w:pPr>
            <w:r>
              <w:rPr>
                <w:b w:val="false"/>
                <w:bCs w:val="false"/>
                <w:sz w:val="18"/>
                <w:szCs w:val="18"/>
              </w:rPr>
              <w:t xml:space="preserve">OPEN, WON, LOST</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ActivityType</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CALL, EMAIL, MEETING, TASK</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TicketPriority</w:t>
            </w:r>
          </w:p>
        </w:tc>
        <w:tc>
          <w:tcPr>
            <w:tcW w:type="dxa" w:w="7000"/>
            <w:tcMar>
              <w:top w:type="dxa" w:w="60"/>
              <w:left w:type="dxa" w:w="100"/>
              <w:bottom w:type="dxa" w:w="60"/>
              <w:right w:type="dxa" w:w="100"/>
            </w:tcMar>
            <w:vAlign w:val="center"/>
          </w:tcPr>
          <w:p>
            <w:pPr>
              <w:jc w:val="left"/>
            </w:pPr>
            <w:r>
              <w:rPr>
                <w:b w:val="false"/>
                <w:bCs w:val="false"/>
                <w:sz w:val="18"/>
                <w:szCs w:val="18"/>
              </w:rPr>
              <w:t xml:space="preserve">LOW, MEDIUM, HIGH, CRITICAL</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TicketStatus</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OPEN, IN_PROGRESS, PENDING, RESOLVED, CLOSED</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ArticleStatus</w:t>
            </w:r>
          </w:p>
        </w:tc>
        <w:tc>
          <w:tcPr>
            <w:tcW w:type="dxa" w:w="7000"/>
            <w:tcMar>
              <w:top w:type="dxa" w:w="60"/>
              <w:left w:type="dxa" w:w="100"/>
              <w:bottom w:type="dxa" w:w="60"/>
              <w:right w:type="dxa" w:w="100"/>
            </w:tcMar>
            <w:vAlign w:val="center"/>
          </w:tcPr>
          <w:p>
            <w:pPr>
              <w:jc w:val="left"/>
            </w:pPr>
            <w:r>
              <w:rPr>
                <w:b w:val="false"/>
                <w:bCs w:val="false"/>
                <w:sz w:val="18"/>
                <w:szCs w:val="18"/>
              </w:rPr>
              <w:t xml:space="preserve">DRAFT, PUBLISHED, ARCHIVED</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SlaBreachType</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RESPONSE, RESOLUTION</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EntityType</w:t>
            </w:r>
          </w:p>
        </w:tc>
        <w:tc>
          <w:tcPr>
            <w:tcW w:type="dxa" w:w="7000"/>
            <w:tcMar>
              <w:top w:type="dxa" w:w="60"/>
              <w:left w:type="dxa" w:w="100"/>
              <w:bottom w:type="dxa" w:w="60"/>
              <w:right w:type="dxa" w:w="100"/>
            </w:tcMar>
            <w:vAlign w:val="center"/>
          </w:tcPr>
          <w:p>
            <w:pPr>
              <w:jc w:val="left"/>
            </w:pPr>
            <w:r>
              <w:rPr>
                <w:b w:val="false"/>
                <w:bCs w:val="false"/>
                <w:sz w:val="18"/>
                <w:szCs w:val="18"/>
              </w:rPr>
              <w:t xml:space="preserve">DEAL, TICKET, CONTACT</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NotificationType</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ASSIGNMENT, COMMENT, STATUS_CHANGE, SLA_WARNING, MENTION</w:t>
            </w:r>
          </w:p>
        </w:tc>
      </w:tr>
    </w:tbl>
    <w:p>
      <w:r>
        <w:br w:type="page"/>
      </w:r>
    </w:p>
    <w:p>
      <w:pPr>
        <w:pStyle w:val="Heading1"/>
        <w:pBdr>
          <w:bottom w:val="single" w:color="2563EB" w:sz="12" w:space="4"/>
        </w:pBdr>
        <w:spacing w:after="240" w:before="480"/>
      </w:pPr>
      <w:r>
        <w:rPr>
          <w:b/>
          <w:bCs/>
          <w:color w:val="1F2937"/>
          <w:sz w:val="32"/>
          <w:szCs w:val="32"/>
        </w:rPr>
        <w:t xml:space="preserve">3. Core Platform Features</w:t>
      </w:r>
    </w:p>
    <w:p>
      <w:pPr>
        <w:spacing w:after="160" w:line="288"/>
      </w:pPr>
      <w:r>
        <w:rPr>
          <w:sz w:val="21"/>
          <w:szCs w:val="21"/>
        </w:rPr>
        <w:t xml:space="preserve">These are the foundational, cross-cutting features every organization gets regardless of which product line (CRM or IT Desk) it uses day to day.</w:t>
      </w:r>
    </w:p>
    <w:p>
      <w:pPr>
        <w:pStyle w:val="Heading2"/>
        <w:spacing w:after="160" w:before="360"/>
      </w:pPr>
      <w:r>
        <w:rPr>
          <w:b/>
          <w:bCs/>
          <w:color w:val="1F2937"/>
          <w:sz w:val="26"/>
          <w:szCs w:val="26"/>
        </w:rPr>
        <w:t xml:space="preserve">3.1 Registration, Login &amp; Session Management</w:t>
      </w:r>
    </w:p>
    <w:p>
      <w:pPr>
        <w:spacing w:after="160" w:line="288"/>
      </w:pPr>
      <w:r>
        <w:rPr>
          <w:sz w:val="21"/>
          <w:szCs w:val="21"/>
        </w:rPr>
        <w:t xml:space="preserve">New customers self-serve sign up (POST /api/auth/register), which creates a brand-new Organization and its first SUPER_ADMIN user in a single database transaction. A unique URL-friendly slug is generated from the org name with a collision-check loop. Passwords are hashed with bcrypt at cost factor 12. Login (POST /api/auth/login) issues a 15-minute access JWT and a 7-day opaque refresh token (stored server-side as a SHA-256 hash, never in plain text) and logs a LOGIN audit event. Refreshing (POST /api/auth/refresh) rotates the refresh token — the old one is deleted and a new one issued — which gives basic reuse-detection. Logging out deletes the matching refresh-token record.</w:t>
      </w:r>
    </w:p>
    <w:p>
      <w:pPr>
        <w:spacing w:after="160" w:line="288"/>
      </w:pPr>
      <w:r>
        <w:rPr>
          <w:sz w:val="21"/>
          <w:szCs w:val="21"/>
        </w:rPr>
        <w:t xml:space="preserve">Additional staff can only join an existing org through an invitation: an admin (SUPER_ADMIN/IT_MANAGER/CRM_MANAGER) generates a 7-day invite token (POST /api/admin/users/invite), which is emailed as an "Accept Invitation" link. The invite pre-bakes the target role and org, so acceptance (POST /api/auth/accept-invite) never lets the new user choose their own role.</w:t>
      </w:r>
    </w:p>
    <w:p>
      <w:pPr>
        <w:pBdr>
          <w:left w:val="single" w:color="D97706" w:sz="24" w:space="8"/>
        </w:pBdr>
        <w:shd w:fill="FEF3C7" w:val="clear"/>
        <w:spacing w:after="160" w:before="120"/>
        <w:ind w:left="100"/>
      </w:pPr>
      <w:r>
        <w:rPr>
          <w:b/>
          <w:bCs/>
          <w:color w:val="92400E"/>
          <w:sz w:val="20"/>
          <w:szCs w:val="20"/>
        </w:rPr>
        <w:t xml:space="preserve">Gap: </w:t>
      </w:r>
      <w:r>
        <w:rPr>
          <w:color w:val="78350F"/>
          <w:sz w:val="20"/>
          <w:szCs w:val="20"/>
        </w:rPr>
        <w:t xml:space="preserve">The TOTP two-factor module (section 3.9) is fully implemented — secret generation, code verification, backup codes — but its verifyTotpLogin() helper is never called from the login controller. In other words, even a user with 2FA "enabled" is not actually challenged for a code at login today.</w:t>
      </w:r>
    </w:p>
    <w:p>
      <w:pPr>
        <w:pStyle w:val="Heading2"/>
        <w:spacing w:after="160" w:before="360"/>
      </w:pPr>
      <w:r>
        <w:rPr>
          <w:b/>
          <w:bCs/>
          <w:color w:val="1F2937"/>
          <w:sz w:val="26"/>
          <w:szCs w:val="26"/>
        </w:rPr>
        <w:t xml:space="preserve">3.2 User &amp; Organization Administration</w:t>
      </w:r>
    </w:p>
    <w:p>
      <w:pPr>
        <w:spacing w:after="160" w:line="288"/>
      </w:pPr>
      <w:r>
        <w:rPr>
          <w:sz w:val="21"/>
          <w:szCs w:val="21"/>
        </w:rPr>
        <w:t xml:space="preserve">Any authenticated user can view their own organization's basic info and counts (GET /api/org) and see a directory of active coworkers for assignee pickers (GET /api/users). Full user administration — creating users directly with a password, editing role/department/active-status, deactivating accounts, and re-sending invites — is restricted to SUPER_ADMIN, IT_MANAGER, and CRM_MANAGER via /api/admin/users. A user cannot deactivate their own account. Note that email uniqueness on the User model is global, not per-organization, so the same email address cannot be used to create staff accounts in two different organizations.</w:t>
      </w:r>
    </w:p>
    <w:p>
      <w:pPr>
        <w:pStyle w:val="Heading2"/>
        <w:spacing w:after="160" w:before="360"/>
      </w:pPr>
      <w:r>
        <w:rPr>
          <w:b/>
          <w:bCs/>
          <w:color w:val="1F2937"/>
          <w:sz w:val="26"/>
          <w:szCs w:val="26"/>
        </w:rPr>
        <w:t xml:space="preserve">3.3 Role-Based Access Control (RBAC)</w:t>
      </w:r>
    </w:p>
    <w:p>
      <w:pPr>
        <w:spacing w:after="160" w:line="288"/>
      </w:pPr>
      <w:r>
        <w:rPr>
          <w:sz w:val="21"/>
          <w:szCs w:val="21"/>
        </w:rPr>
        <w:t xml:space="preserve">Six roles (SUPER_ADMIN, IT_MANAGER, CRM_MANAGER, IT_AGENT, SALES_REP, EMPLOYEE — see section 1.5) are enforced through named role-group constants applied per route on the server. The one row-level (not just route-level) restriction in the system is on tickets: an EMPLOYEE requesting the ticket list is automatically scoped to only their own submitted tickets, regardless of query filters they pass. Every other restriction is either "which routes can this role call" or "which sidebar links does this role see" on the frontend.</w:t>
      </w:r>
    </w:p>
    <w:p>
      <w:pPr>
        <w:pStyle w:val="Heading2"/>
        <w:spacing w:after="160" w:before="360"/>
      </w:pPr>
      <w:r>
        <w:rPr>
          <w:b/>
          <w:bCs/>
          <w:color w:val="1F2937"/>
          <w:sz w:val="26"/>
          <w:szCs w:val="26"/>
        </w:rPr>
        <w:t xml:space="preserve">3.4 Audit Log</w:t>
      </w:r>
    </w:p>
    <w:p>
      <w:pPr>
        <w:spacing w:after="160" w:line="288"/>
      </w:pPr>
      <w:r>
        <w:rPr>
          <w:sz w:val="21"/>
          <w:szCs w:val="21"/>
        </w:rPr>
        <w:t xml:space="preserve">A single AuditLog table records actor, action (e.g. CREATE/UPDATE/DELETE/LOGIN), entity type/ID, and a JSON diff of changes, written by a shared logAction() helper called from nearly every mutating controller — contacts, leads, deals, tickets, users, API keys, and more. The Audit Log page (GET /api/audit-logs, MANAGERS only) supports filtering by action, entity type, user, and a free-text search against the entity ID.</w:t>
      </w:r>
    </w:p>
    <w:p>
      <w:pPr>
        <w:pStyle w:val="Heading2"/>
        <w:spacing w:after="160" w:before="360"/>
      </w:pPr>
      <w:r>
        <w:rPr>
          <w:b/>
          <w:bCs/>
          <w:color w:val="1F2937"/>
          <w:sz w:val="26"/>
          <w:szCs w:val="26"/>
        </w:rPr>
        <w:t xml:space="preserve">3.5 In-App Notifications</w:t>
      </w:r>
    </w:p>
    <w:p>
      <w:pPr>
        <w:spacing w:after="160" w:line="288"/>
      </w:pPr>
      <w:r>
        <w:rPr>
          <w:sz w:val="21"/>
          <w:szCs w:val="21"/>
        </w:rPr>
        <w:t xml:space="preserve">A lightweight notification center (GET /api/notifications, PATCH /:id/read, POST /read-all) shows each user their most recent 30 (max 50) notifications, polled every 60 seconds by the frontend bell icon and also pushed live over SSE. Internally, a notifyOrgAdmins() helper fans a notification out to every active SUPER_ADMIN/IT_MANAGER/CRM_MANAGER in the org — used, for example, whenever a new ticket is filed.</w:t>
      </w:r>
    </w:p>
    <w:p>
      <w:pPr>
        <w:pStyle w:val="Heading2"/>
        <w:spacing w:after="160" w:before="360"/>
      </w:pPr>
      <w:r>
        <w:rPr>
          <w:b/>
          <w:bCs/>
          <w:color w:val="1F2937"/>
          <w:sz w:val="26"/>
          <w:szCs w:val="26"/>
        </w:rPr>
        <w:t xml:space="preserve">3.6 Global Search</w:t>
      </w:r>
    </w:p>
    <w:p>
      <w:pPr>
        <w:spacing w:after="160" w:line="288"/>
      </w:pPr>
      <w:r>
        <w:rPr>
          <w:sz w:val="21"/>
          <w:szCs w:val="21"/>
        </w:rPr>
        <w:t xml:space="preserve">A single endpoint (GET /api/search?q=) searches Contacts (name/email), Deals (title), Tickets (title/body), and Leads (via their linked contact's name) in parallel, capping each entity type at 5 results, all scoped to the caller's organization. On the frontend this powers the always-visible top-bar search box; a second, separately-built "Global Search" component also exists in the codebase but does not appear to be mounted anywhere — likely a superseded earlier implementation.</w:t>
      </w:r>
    </w:p>
    <w:p>
      <w:pPr>
        <w:pStyle w:val="Heading2"/>
        <w:spacing w:after="160" w:before="360"/>
      </w:pPr>
      <w:r>
        <w:rPr>
          <w:b/>
          <w:bCs/>
          <w:color w:val="1F2937"/>
          <w:sz w:val="26"/>
          <w:szCs w:val="26"/>
        </w:rPr>
        <w:t xml:space="preserve">3.7 Threaded Comments</w:t>
      </w:r>
    </w:p>
    <w:p>
      <w:pPr>
        <w:spacing w:after="160" w:line="288"/>
      </w:pPr>
      <w:r>
        <w:rPr>
          <w:sz w:val="21"/>
          <w:szCs w:val="21"/>
        </w:rPr>
        <w:t xml:space="preserve">A generic, polymorphic comment system attaches to Deals, Tickets, and Contacts via an (entityType, entityId) pair (GET/POST /api/comments/:entityType/:entityId, PATCH/DELETE /api/comments/:id). Only the original author can edit a comment; only the author or a SUPER_ADMIN can delete one. The same Comments.tsx widget is reused inline across the Deal, Ticket, and Contact detail views.</w:t>
      </w:r>
    </w:p>
    <w:p>
      <w:pPr>
        <w:pBdr>
          <w:left w:val="single" w:color="D97706" w:sz="24" w:space="8"/>
        </w:pBdr>
        <w:shd w:fill="FEF3C7" w:val="clear"/>
        <w:spacing w:after="160" w:before="120"/>
        <w:ind w:left="100"/>
      </w:pPr>
      <w:r>
        <w:rPr>
          <w:b/>
          <w:bCs/>
          <w:color w:val="92400E"/>
          <w:sz w:val="20"/>
          <w:szCs w:val="20"/>
        </w:rPr>
        <w:t xml:space="preserve">Gap: </w:t>
      </w:r>
      <w:r>
        <w:rPr>
          <w:color w:val="78350F"/>
          <w:sz w:val="20"/>
          <w:szCs w:val="20"/>
        </w:rPr>
        <w:t xml:space="preserve">Unlike virtually every other controller in the codebase, the comments endpoints do not filter by orgId at all — only by entityType/entityId. If an entity ID from another tenant were guessed, its comments could theoretically be read or commented on across organization boundaries.</w:t>
      </w:r>
    </w:p>
    <w:p>
      <w:pPr>
        <w:pStyle w:val="Heading2"/>
        <w:spacing w:after="160" w:before="360"/>
      </w:pPr>
      <w:r>
        <w:rPr>
          <w:b/>
          <w:bCs/>
          <w:color w:val="1F2937"/>
          <w:sz w:val="26"/>
          <w:szCs w:val="26"/>
        </w:rPr>
        <w:t xml:space="preserve">3.8 Custom Fields</w:t>
      </w:r>
    </w:p>
    <w:p>
      <w:pPr>
        <w:spacing w:after="160" w:line="288"/>
      </w:pPr>
      <w:r>
        <w:rPr>
          <w:sz w:val="21"/>
          <w:szCs w:val="21"/>
        </w:rPr>
        <w:t xml:space="preserve">Admins can extend Tickets, Contacts, Deals, or Leads with custom attributes without a schema change, via /api/custom-fields. Field definitions specify a fieldKey (lowercase/numbers/underscore only), a fieldType (TEXT/NUMBER/DATE/SELECT/BOOLEAN — SELECT fields carry an options list), and whether the field is required. Values are stored separately (one row per field per entity, upserted independently) and fetched/set per entity via /api/custom-fields/values/:entityId.</w:t>
      </w:r>
    </w:p>
    <w:p>
      <w:pPr>
        <w:pStyle w:val="Heading2"/>
        <w:spacing w:after="160" w:before="360"/>
      </w:pPr>
      <w:r>
        <w:rPr>
          <w:b/>
          <w:bCs/>
          <w:color w:val="1F2937"/>
          <w:sz w:val="26"/>
          <w:szCs w:val="26"/>
        </w:rPr>
        <w:t xml:space="preserve">3.9 Two-Factor Authentication (TOTP)</w:t>
      </w:r>
    </w:p>
    <w:p>
      <w:pPr>
        <w:spacing w:after="160" w:line="288"/>
      </w:pPr>
      <w:r>
        <w:rPr>
          <w:sz w:val="21"/>
          <w:szCs w:val="21"/>
        </w:rPr>
        <w:t xml:space="preserve">Per-user TOTP 2FA (/api/2fa): setup generates a secret and otpauth:// URI for QR-code rendering; enabling requires verifying a live 6-digit code and returns 8 single-use backup codes shown once; disabling requires another valid code. As noted in 3.1, this feature is implemented end-to-end in isolation but is not currently wired into the login flow, so enabling it does not yet change what happens when a user signs in.</w:t>
      </w:r>
    </w:p>
    <w:p>
      <w:pPr>
        <w:pStyle w:val="Heading2"/>
        <w:spacing w:after="160" w:before="360"/>
      </w:pPr>
      <w:r>
        <w:rPr>
          <w:b/>
          <w:bCs/>
          <w:color w:val="1F2937"/>
          <w:sz w:val="26"/>
          <w:szCs w:val="26"/>
        </w:rPr>
        <w:t xml:space="preserve">3.10 API Keys (Programmatic Access)</w:t>
      </w:r>
    </w:p>
    <w:p>
      <w:pPr>
        <w:spacing w:after="160" w:line="288"/>
      </w:pPr>
      <w:r>
        <w:rPr>
          <w:sz w:val="21"/>
          <w:szCs w:val="21"/>
        </w:rPr>
        <w:t xml:space="preserve">SUPER_ADMIN users can mint scoped API keys (read/write/admin) with an optional expiry (POST /api/api-keys). The raw key (crm_&lt;48 hex chars&gt;) is shown exactly once at creation time; only its SHA-256 hash and a 12-character display prefix are ever persisted. An authenticateApiKey middleware exists to let external callers authenticate via an X-API-Key header as an alternative to a staff JWT, updating lastUsedAt on each use and falling through to normal JWT auth if the header is absent.</w:t>
      </w:r>
    </w:p>
    <w:p>
      <w:pPr>
        <w:pStyle w:val="Heading2"/>
        <w:spacing w:after="160" w:before="360"/>
      </w:pPr>
      <w:r>
        <w:rPr>
          <w:b/>
          <w:bCs/>
          <w:color w:val="1F2937"/>
          <w:sz w:val="26"/>
          <w:szCs w:val="26"/>
        </w:rPr>
        <w:t xml:space="preserve">3.11 White-Label Branding</w:t>
      </w:r>
    </w:p>
    <w:p>
      <w:pPr>
        <w:spacing w:after="160" w:line="288"/>
      </w:pPr>
      <w:r>
        <w:rPr>
          <w:sz w:val="21"/>
          <w:szCs w:val="21"/>
        </w:rPr>
        <w:t xml:space="preserve">Org admins can set a logo, primary color (validated as #RRGGBB), portal title, and welcome text (/api/branding), which is intended to theme the customer self-service portal before a customer even logs in (a public GET /api/branding/public/:orgId endpoint serves these values with no auth required, for exactly that purpose).</w:t>
      </w:r>
    </w:p>
    <w:p>
      <w:pPr>
        <w:pStyle w:val="Heading2"/>
        <w:spacing w:after="160" w:before="360"/>
      </w:pPr>
      <w:r>
        <w:rPr>
          <w:b/>
          <w:bCs/>
          <w:color w:val="1F2937"/>
          <w:sz w:val="26"/>
          <w:szCs w:val="26"/>
        </w:rPr>
        <w:t xml:space="preserve">3.12 CSV Bulk Import</w:t>
      </w:r>
    </w:p>
    <w:p>
      <w:pPr>
        <w:spacing w:after="160" w:line="288"/>
      </w:pPr>
      <w:r>
        <w:rPr>
          <w:sz w:val="21"/>
          <w:szCs w:val="21"/>
        </w:rPr>
        <w:t xml:space="preserve">CRM_MANAGERS can bulk-import Contacts or Leads from CSV (/api/import/contacts, /api/import/leads) via a hand-rolled parser (no external CSV library) that handles quoted fields with embedded commas. Both endpoints support a preview:true mode that parses and returns the first 5 rows plus a total count without writing anything, and both tolerate common column-name aliases (full_name/contact_name, email_address, phone_number, job_title/title/company). Contact import upserts by email within the org; lead import always creates a new Lead linked to an upserted Contact.</w:t>
      </w:r>
    </w:p>
    <w:p>
      <w:r>
        <w:br w:type="page"/>
      </w:r>
    </w:p>
    <w:p>
      <w:pPr>
        <w:pStyle w:val="Heading1"/>
        <w:pBdr>
          <w:bottom w:val="single" w:color="2563EB" w:sz="12" w:space="4"/>
        </w:pBdr>
        <w:spacing w:after="240" w:before="480"/>
      </w:pPr>
      <w:r>
        <w:rPr>
          <w:b/>
          <w:bCs/>
          <w:color w:val="1F2937"/>
          <w:sz w:val="32"/>
          <w:szCs w:val="32"/>
        </w:rPr>
        <w:t xml:space="preserve">4. CRM Module</w:t>
      </w:r>
    </w:p>
    <w:p>
      <w:pPr>
        <w:spacing w:after="160" w:line="288"/>
      </w:pPr>
      <w:r>
        <w:rPr>
          <w:sz w:val="21"/>
          <w:szCs w:val="21"/>
        </w:rPr>
        <w:t xml:space="preserve">The CRM side of the platform covers the standard sales lifecycle: capture a lead, qualify it, convert it into a deal, move that deal through a pipeline, and (optionally) formalize pricing in a quote — all while logging supporting activities and, for larger customers, bulk email campaigns.</w:t>
      </w:r>
    </w:p>
    <w:p>
      <w:pPr>
        <w:pStyle w:val="Heading2"/>
        <w:spacing w:after="160" w:before="360"/>
      </w:pPr>
      <w:r>
        <w:rPr>
          <w:b/>
          <w:bCs/>
          <w:color w:val="1F2937"/>
          <w:sz w:val="26"/>
          <w:szCs w:val="26"/>
        </w:rPr>
        <w:t xml:space="preserve">4.1 Accounts</w:t>
      </w:r>
    </w:p>
    <w:p>
      <w:pPr>
        <w:spacing w:after="160" w:line="288"/>
      </w:pPr>
      <w:r>
        <w:rPr>
          <w:sz w:val="21"/>
          <w:szCs w:val="21"/>
        </w:rPr>
        <w:t xml:space="preserve">An Account represents a company (distinct from the platform's own Organization tenant concept). CRM staff can create, search by name, and view a detail page listing that account's contacts and deals with their assignees. Deletion is restricted to CRM_MANAGERS.</w:t>
      </w:r>
    </w:p>
    <w:p>
      <w:pPr>
        <w:pStyle w:val="Heading2"/>
        <w:spacing w:after="160" w:before="360"/>
      </w:pPr>
      <w:r>
        <w:rPr>
          <w:b/>
          <w:bCs/>
          <w:color w:val="1F2937"/>
          <w:sz w:val="26"/>
          <w:szCs w:val="26"/>
        </w:rPr>
        <w:t xml:space="preserve">4.2 Contacts</w:t>
      </w:r>
    </w:p>
    <w:p>
      <w:pPr>
        <w:spacing w:after="160" w:line="288"/>
      </w:pPr>
      <w:r>
        <w:rPr>
          <w:sz w:val="21"/>
          <w:szCs w:val="21"/>
        </w:rPr>
        <w:t xml:space="preserve">Individual people, optionally linked to an Account. The contact list supports search by name/email and filtering by account. The detail view shows the linked account, owner, all deals (with assignee), and the last 20 logged activities, plus an inline AI Churn Risk card (section 8.1) and a threaded-comments widget. Empty-string accountId/email values are coerced to undefined server-side to avoid foreign-key violations — a defensive pattern repeated in several controllers where forms may submit blank strings instead of omitting a field.</w:t>
      </w:r>
    </w:p>
    <w:p>
      <w:pPr>
        <w:pStyle w:val="Heading2"/>
        <w:spacing w:after="160" w:before="360"/>
      </w:pPr>
      <w:r>
        <w:rPr>
          <w:b/>
          <w:bCs/>
          <w:color w:val="1F2937"/>
          <w:sz w:val="26"/>
          <w:szCs w:val="26"/>
        </w:rPr>
        <w:t xml:space="preserve">4.3 Leads &amp; Conversion</w:t>
      </w:r>
    </w:p>
    <w:p>
      <w:pPr>
        <w:spacing w:after="160" w:line="288"/>
      </w:pPr>
      <w:r>
        <w:rPr>
          <w:sz w:val="21"/>
          <w:szCs w:val="21"/>
        </w:rPr>
        <w:t xml:space="preserve">A Lead moves through NEW → CONTACTED → QUALIFIED → UNQUALIFIED / CONVERTED. Creating a lead can either link an existing contact or auto-create a new one inline from a name/email, and fires the workflow engine's LEAD_CREATED trigger plus an optional Slack notification. The frontend adds an on-demand AI lead-scoring badge (section 8.1), an AI-generated follow-up email draft, and an AI multi-touch nurture-sequence generator.</w:t>
      </w:r>
    </w:p>
    <w:p>
      <w:pPr>
        <w:spacing w:after="160" w:line="288"/>
      </w:pPr>
      <w:r>
        <w:rPr>
          <w:sz w:val="21"/>
          <w:szCs w:val="21"/>
        </w:rPr>
        <w:t xml:space="preserve">Converting a lead (PATCH /api/crm/leads/:id/convert) creates a Deal from supplied title/value/stage/probability (defaulting to the org's first pipeline stage and 20% probability), auto-provisioning a default "Sales Pipeline" (Prospecting → Proposal → Negotiation → Won → Lost) if the organization has none yet, and marks the lead CONVERTED with a timestamp and a link to the new deal. A lead that is already CONVERTED cannot be converted again.</w:t>
      </w:r>
    </w:p>
    <w:p>
      <w:pPr>
        <w:pStyle w:val="Heading2"/>
        <w:spacing w:after="160" w:before="360"/>
      </w:pPr>
      <w:r>
        <w:rPr>
          <w:b/>
          <w:bCs/>
          <w:color w:val="1F2937"/>
          <w:sz w:val="26"/>
          <w:szCs w:val="26"/>
        </w:rPr>
        <w:t xml:space="preserve">4.4 Deals &amp; Sales Pipeline</w:t>
      </w:r>
    </w:p>
    <w:p>
      <w:pPr>
        <w:spacing w:after="160" w:line="288"/>
      </w:pPr>
      <w:r>
        <w:rPr>
          <w:sz w:val="21"/>
          <w:szCs w:val="21"/>
        </w:rPr>
        <w:t xml:space="preserve">Deals carry a free-text stage validated against the org's Pipeline.stages array, and a status of OPEN/WON/LOST. The Deals page renders an HTML5 drag-and-drop Kanban board grouping open deals by stage (GET /api/crm/deals/pipeline); dropping a card into a new column calls PATCH /api/crm/deals/:id/stage, which appends a DealHistory row, emails the assignee, and fires a DEAL_STAGE_CHANGED workflow trigger. Marking a deal WON or LOST via PATCH /api/crm/deals/:id fires the corresponding DEAL_WON/DEAL_LOST workflow trigger and, on a win, an optional Slack notification. A dedicated reports view (GET /api/crm/deals/reports, CRM_MANAGERS) shows funnel counts/values per stage, won/lost totals, and a probability-weighted forecast. Deal detail also surfaces AI win-probability estimation, AI follow-up email drafting with a tone-check pass, and comments.</w:t>
      </w:r>
    </w:p>
    <w:p>
      <w:pPr>
        <w:pStyle w:val="Heading2"/>
        <w:spacing w:after="160" w:before="360"/>
      </w:pPr>
      <w:r>
        <w:rPr>
          <w:b/>
          <w:bCs/>
          <w:color w:val="1F2937"/>
          <w:sz w:val="26"/>
          <w:szCs w:val="26"/>
        </w:rPr>
        <w:t xml:space="preserve">4.5 Activities</w:t>
      </w:r>
    </w:p>
    <w:p>
      <w:pPr>
        <w:spacing w:after="160" w:line="288"/>
      </w:pPr>
      <w:r>
        <w:rPr>
          <w:sz w:val="21"/>
          <w:szCs w:val="21"/>
        </w:rPr>
        <w:t xml:space="preserve">A simple typed log (CALL/EMAIL/MEETING/TASK) attachable to a deal or contact, with a due date and a done flag, rendered as a timeline on the Contact detail page. Deletion is CRM_MANAGERS-only; create/edit is open to all CRM staff.</w:t>
      </w:r>
    </w:p>
    <w:p>
      <w:pPr>
        <w:pStyle w:val="Heading2"/>
        <w:spacing w:after="160" w:before="360"/>
      </w:pPr>
      <w:r>
        <w:rPr>
          <w:b/>
          <w:bCs/>
          <w:color w:val="1F2937"/>
          <w:sz w:val="26"/>
          <w:szCs w:val="26"/>
        </w:rPr>
        <w:t xml:space="preserve">4.6 Quotes</w:t>
      </w:r>
    </w:p>
    <w:p>
      <w:pPr>
        <w:spacing w:after="160" w:line="288"/>
      </w:pPr>
      <w:r>
        <w:rPr>
          <w:sz w:val="21"/>
          <w:szCs w:val="21"/>
        </w:rPr>
        <w:t xml:space="preserve">Sales quotes carry nested line items (description, quantity, unit price, a 0-100% discount) and move through DRAFT → SENT → ACCEPTED/REJECTED with no server-side guard on transition order (unlike Change Requests — see 5.6). Updating a quote's line items fully replaces the existing set (delete-then-recreate) rather than diffing individual lines. A quote may optionally link to a deal.</w:t>
      </w:r>
    </w:p>
    <w:p>
      <w:pPr>
        <w:pStyle w:val="Heading2"/>
        <w:spacing w:after="160" w:before="360"/>
      </w:pPr>
      <w:r>
        <w:rPr>
          <w:b/>
          <w:bCs/>
          <w:color w:val="1F2937"/>
          <w:sz w:val="26"/>
          <w:szCs w:val="26"/>
        </w:rPr>
        <w:t xml:space="preserve">4.7 Campaigns (Bulk Email Marketing)</w:t>
      </w:r>
    </w:p>
    <w:p>
      <w:pPr>
        <w:spacing w:after="160" w:line="288"/>
      </w:pPr>
      <w:r>
        <w:rPr>
          <w:sz w:val="21"/>
          <w:szCs w:val="21"/>
        </w:rPr>
        <w:t xml:space="preserve">CRM_MANAGERS can compose a campaign (name/subject/body) targeting either non-converted Leads or all Contacts, then send it (POST /api/campaigns/:id/send). Sending gathers all recipient email addresses, flips status to SENDING, fires every email concurrently in the background via Promise.all (no batching or throttling), and updates the record to SENT with a final sentAt/sentCount once complete. The API responds immediately with just the recipient count rather than waiting for delivery.</w:t>
      </w:r>
    </w:p>
    <w:p>
      <w:r>
        <w:br w:type="page"/>
      </w:r>
    </w:p>
    <w:p>
      <w:pPr>
        <w:pStyle w:val="Heading1"/>
        <w:pBdr>
          <w:bottom w:val="single" w:color="2563EB" w:sz="12" w:space="4"/>
        </w:pBdr>
        <w:spacing w:after="240" w:before="480"/>
      </w:pPr>
      <w:r>
        <w:rPr>
          <w:b/>
          <w:bCs/>
          <w:color w:val="1F2937"/>
          <w:sz w:val="32"/>
          <w:szCs w:val="32"/>
        </w:rPr>
        <w:t xml:space="preserve">5. IT Help Desk Module</w:t>
      </w:r>
    </w:p>
    <w:p>
      <w:pPr>
        <w:spacing w:after="160" w:line="288"/>
      </w:pPr>
      <w:r>
        <w:rPr>
          <w:sz w:val="21"/>
          <w:szCs w:val="21"/>
        </w:rPr>
        <w:t xml:space="preserve">The help desk side covers ticket intake and resolution, SLA governance, a knowledge base, IT asset inventory, and ITIL-style change management, all built around the Ticket entity.</w:t>
      </w:r>
    </w:p>
    <w:p>
      <w:pPr>
        <w:pStyle w:val="Heading2"/>
        <w:spacing w:after="160" w:before="360"/>
      </w:pPr>
      <w:r>
        <w:rPr>
          <w:b/>
          <w:bCs/>
          <w:color w:val="1F2937"/>
          <w:sz w:val="26"/>
          <w:szCs w:val="26"/>
        </w:rPr>
        <w:t xml:space="preserve">5.1 Tickets</w:t>
      </w:r>
    </w:p>
    <w:p>
      <w:pPr>
        <w:spacing w:after="160" w:line="288"/>
      </w:pPr>
      <w:r>
        <w:rPr>
          <w:sz w:val="21"/>
          <w:szCs w:val="21"/>
        </w:rPr>
        <w:t xml:space="preserve">Any authenticated user, including EMPLOYEE, can file a ticket (POST /api/itdesk/tickets); as noted in 3.3, EMPLOYEE users only ever see their own tickets when listing. Ticket status follows OPEN → IN_PROGRESS → PENDING → RESOLVED → CLOSED with priority LOW/MEDIUM/HIGH/CRITICAL. On creation, if the chosen category has a linked SLA policy, an slaDueAt deadline is computed from its resolutionHours; a TicketHistory row is created; every IT manager/admin is emailed and given an in-app notification; the workflow engine's TICKET_CREATED trigger fires; the update is broadcast live over SSE; and an optional Slack message is posted.</w:t>
      </w:r>
    </w:p>
    <w:p>
      <w:pPr>
        <w:spacing w:after="160" w:line="288"/>
      </w:pPr>
      <w:r>
        <w:rPr>
          <w:sz w:val="21"/>
          <w:szCs w:val="21"/>
        </w:rPr>
        <w:t xml:space="preserve">Status changes (PATCH /:id/status) append to TicketHistory, set resolvedAt/closedAt as appropriate, fire TICKET_STATUS_CHANGED, broadcast over SSE, and — specifically on a transition to RESOLVED — email the requester and schedule a CSAT survey email 5 seconds later. Reassignment (PATCH /:id/assign, IT_MANAGERS only) also force-sets status to IN_PROGRESS and emails the new assignee. The ticket detail view layers in seven distinct AI capabilities (section 8.2) plus manual status controls, an assignee picker, the full status-change history, an embedded time-tracking panel, and threaded comments.</w:t>
      </w:r>
    </w:p>
    <w:p>
      <w:pPr>
        <w:pStyle w:val="Heading2"/>
        <w:spacing w:after="160" w:before="360"/>
      </w:pPr>
      <w:r>
        <w:rPr>
          <w:b/>
          <w:bCs/>
          <w:color w:val="1F2937"/>
          <w:sz w:val="26"/>
          <w:szCs w:val="26"/>
        </w:rPr>
        <w:t xml:space="preserve">5.2 Categories &amp; SLA Policies</w:t>
      </w:r>
    </w:p>
    <w:p>
      <w:pPr>
        <w:spacing w:after="160" w:line="288"/>
      </w:pPr>
      <w:r>
        <w:rPr>
          <w:sz w:val="21"/>
          <w:szCs w:val="21"/>
        </w:rPr>
        <w:t xml:space="preserve">Categories form a parent/child hierarchy and optionally bind to an SLA policy (response/resolution hour targets, with optional per-priority overrides) and an auto-assignment group. Both are viewable by all users (needed for ticket-creation dropdowns) but only editable by IT_MANAGERS.</w:t>
      </w:r>
    </w:p>
    <w:p>
      <w:pPr>
        <w:pStyle w:val="Heading2"/>
        <w:spacing w:after="160" w:before="360"/>
      </w:pPr>
      <w:r>
        <w:rPr>
          <w:b/>
          <w:bCs/>
          <w:color w:val="1F2937"/>
          <w:sz w:val="26"/>
          <w:szCs w:val="26"/>
        </w:rPr>
        <w:t xml:space="preserve">5.3 Knowledge Base</w:t>
      </w:r>
    </w:p>
    <w:p>
      <w:pPr>
        <w:spacing w:after="160" w:line="288"/>
      </w:pPr>
      <w:r>
        <w:rPr>
          <w:sz w:val="21"/>
          <w:szCs w:val="21"/>
        </w:rPr>
        <w:t xml:space="preserve">Articles move through DRAFT → PUBLISHED → ARCHIVED; non-staff (and the customer portal, indirectly) only ever see PUBLISHED articles, while IT staff can request ?all=1 to see everything. Publishing sets a publishedAt timestamp. Published articles double as retrieval-augmented-generation context for two AI features: suggested ticket replies and AI-drafted KB articles generated from a resolved ticket's own comment thread.</w:t>
      </w:r>
    </w:p>
    <w:p>
      <w:pPr>
        <w:pStyle w:val="Heading2"/>
        <w:spacing w:after="160" w:before="360"/>
      </w:pPr>
      <w:r>
        <w:rPr>
          <w:b/>
          <w:bCs/>
          <w:color w:val="1F2937"/>
          <w:sz w:val="26"/>
          <w:szCs w:val="26"/>
        </w:rPr>
        <w:t xml:space="preserve">5.4 IT Asset Management</w:t>
      </w:r>
    </w:p>
    <w:p>
      <w:pPr>
        <w:spacing w:after="160" w:line="288"/>
      </w:pPr>
      <w:r>
        <w:rPr>
          <w:sz w:val="21"/>
          <w:szCs w:val="21"/>
        </w:rPr>
        <w:t xml:space="preserve">A straightforward inventory of hardware/software assets (name, type, serial number, status: active/inactive/retired/in_repair, assignee, purchase date) that can be linked to one or more tickets via a join table, with stat tiles (totals by status, grouped by type) on the Assets page. Mutations are IT_MANAGERS-only; viewing is open to all IT staff.</w:t>
      </w:r>
    </w:p>
    <w:p>
      <w:pPr>
        <w:pStyle w:val="Heading2"/>
        <w:spacing w:after="160" w:before="360"/>
      </w:pPr>
      <w:r>
        <w:rPr>
          <w:b/>
          <w:bCs/>
          <w:color w:val="1F2937"/>
          <w:sz w:val="26"/>
          <w:szCs w:val="26"/>
        </w:rPr>
        <w:t xml:space="preserve">5.5 Time Tracking</w:t>
      </w:r>
    </w:p>
    <w:p>
      <w:pPr>
        <w:spacing w:after="160" w:line="288"/>
      </w:pPr>
      <w:r>
        <w:rPr>
          <w:sz w:val="21"/>
          <w:szCs w:val="21"/>
        </w:rPr>
        <w:t xml:space="preserve">IT staff can log time against a ticket in minute increments (1–1440 minutes, i.e. capped at 24 hours per entry) with an optional description, view a running total, and delete individual entries — rendered as an embedded panel inside the ticket detail modal rather than a standalone page.</w:t>
      </w:r>
    </w:p>
    <w:p>
      <w:pPr>
        <w:pStyle w:val="Heading2"/>
        <w:spacing w:after="160" w:before="360"/>
      </w:pPr>
      <w:r>
        <w:rPr>
          <w:b/>
          <w:bCs/>
          <w:color w:val="1F2937"/>
          <w:sz w:val="26"/>
          <w:szCs w:val="26"/>
        </w:rPr>
        <w:t xml:space="preserve">5.6 Change Management (ITIL Change Requests)</w:t>
      </w:r>
    </w:p>
    <w:p>
      <w:pPr>
        <w:spacing w:after="160" w:line="288"/>
      </w:pPr>
      <w:r>
        <w:rPr>
          <w:sz w:val="21"/>
          <w:szCs w:val="21"/>
        </w:rPr>
        <w:t xml:space="preserve">Change requests carry a type (NORMAL/EMERGENCY/STANDARD), priority, and a status lifecycle of DRAFT → SUBMITTED → IMPLEMENTING → DONE, with a parallel APPROVED/REJECTED outcome recorded separately. Unlike the general PATCH /:id/status endpoint (which allows free transitions between the four lifecycle statuses with no ordering guard), the dedicated approve/reject actions do enforce a precondition: both require the request to currently be in SUBMITTED status, and rejection additionally requires a reason string. Only IT_MANAGERS can approve, reject, or delete a change request.</w:t>
      </w:r>
    </w:p>
    <w:p>
      <w:pPr>
        <w:pStyle w:val="Heading2"/>
        <w:spacing w:after="160" w:before="360"/>
      </w:pPr>
      <w:r>
        <w:rPr>
          <w:b/>
          <w:bCs/>
          <w:color w:val="1F2937"/>
          <w:sz w:val="26"/>
          <w:szCs w:val="26"/>
        </w:rPr>
        <w:t xml:space="preserve">5.7 Customer Satisfaction (CSAT) Surveys</w:t>
      </w:r>
    </w:p>
    <w:p>
      <w:pPr>
        <w:spacing w:after="160" w:line="288"/>
      </w:pPr>
      <w:r>
        <w:rPr>
          <w:sz w:val="21"/>
          <w:szCs w:val="21"/>
        </w:rPr>
        <w:t xml:space="preserve">A CSAT survey is auto-triggered by email 5 seconds after a ticket is marked RESOLVED. The submission endpoint (POST /api/csat/submit/:ticketId) requires no authentication (it's reached via the emailed link) and enforces exactly one response per ticket — resubmitting simply returns the existing rating rather than erroring. IT_MANAGERS can view all responses and aggregate stats: average rating, a 1-5 rating distribution, and a "satisfaction rate" defined as the percentage of responses rated 4 or 5.</w:t>
      </w:r>
    </w:p>
    <w:p>
      <w:r>
        <w:br w:type="page"/>
      </w:r>
    </w:p>
    <w:p>
      <w:pPr>
        <w:pStyle w:val="Heading1"/>
        <w:pBdr>
          <w:bottom w:val="single" w:color="2563EB" w:sz="12" w:space="4"/>
        </w:pBdr>
        <w:spacing w:after="240" w:before="480"/>
      </w:pPr>
      <w:r>
        <w:rPr>
          <w:b/>
          <w:bCs/>
          <w:color w:val="1F2937"/>
          <w:sz w:val="32"/>
          <w:szCs w:val="32"/>
        </w:rPr>
        <w:t xml:space="preserve">6. Unified Inbox (Email + WhatsApp)</w:t>
      </w:r>
    </w:p>
    <w:p>
      <w:pPr>
        <w:spacing w:after="160" w:line="288"/>
      </w:pPr>
      <w:r>
        <w:rPr>
          <w:sz w:val="21"/>
          <w:szCs w:val="21"/>
        </w:rPr>
        <w:t xml:space="preserve">The Inbox module gives every organization one shared, omnichannel messaging surface for email and WhatsApp, modeled as Conversations (one per external contact) containing ordered Messages (INBOUND/OUTBOUND).</w:t>
      </w:r>
    </w:p>
    <w:p>
      <w:pPr>
        <w:pStyle w:val="Heading2"/>
        <w:spacing w:after="160" w:before="360"/>
      </w:pPr>
      <w:r>
        <w:rPr>
          <w:b/>
          <w:bCs/>
          <w:color w:val="1F2937"/>
          <w:sz w:val="26"/>
          <w:szCs w:val="26"/>
        </w:rPr>
        <w:t xml:space="preserve">6.1 Email Channel</w:t>
      </w:r>
    </w:p>
    <w:p>
      <w:pPr>
        <w:spacing w:after="160" w:line="288"/>
      </w:pPr>
      <w:r>
        <w:rPr>
          <w:sz w:val="21"/>
          <w:szCs w:val="21"/>
        </w:rPr>
        <w:t xml:space="preserve">An org connects one mailbox by supplying IMAP (receive) and SMTP (send) host/port/credentials (POST /api/inbox/settings/email, IT_MANAGERS only), which triggers an immediate background sync. A global job then re-syncs every connected mailbox every 5 minutes (plus once at server startup), pulling new mail via ImapFlow/mailparser into Conversations/Messages. Replies are sent through a Nodemailer SMTP transport built from the stored credentials, with In-Reply-To/References headers set for proper threading when the original message's externalId is known.</w:t>
      </w:r>
    </w:p>
    <w:p>
      <w:pPr>
        <w:pBdr>
          <w:left w:val="single" w:color="D97706" w:sz="24" w:space="8"/>
        </w:pBdr>
        <w:shd w:fill="FEF3C7" w:val="clear"/>
        <w:spacing w:after="160" w:before="120"/>
        <w:ind w:left="100"/>
      </w:pPr>
      <w:r>
        <w:rPr>
          <w:b/>
          <w:bCs/>
          <w:color w:val="92400E"/>
          <w:sz w:val="20"/>
          <w:szCs w:val="20"/>
        </w:rPr>
        <w:t xml:space="preserve">Gap: </w:t>
      </w:r>
      <w:r>
        <w:rPr>
          <w:color w:val="78350F"/>
          <w:sz w:val="20"/>
          <w:szCs w:val="20"/>
        </w:rPr>
        <w:t xml:space="preserve">Email account passwords are stored as plain text in the EmailAccount table with no visible field-level encryption at rest.</w:t>
      </w:r>
    </w:p>
    <w:p>
      <w:pPr>
        <w:pStyle w:val="Heading2"/>
        <w:spacing w:after="160" w:before="360"/>
      </w:pPr>
      <w:r>
        <w:rPr>
          <w:b/>
          <w:bCs/>
          <w:color w:val="1F2937"/>
          <w:sz w:val="26"/>
          <w:szCs w:val="26"/>
        </w:rPr>
        <w:t xml:space="preserve">6.2 WhatsApp Channel</w:t>
      </w:r>
    </w:p>
    <w:p>
      <w:pPr>
        <w:spacing w:after="160" w:line="288"/>
      </w:pPr>
      <w:r>
        <w:rPr>
          <w:sz w:val="21"/>
          <w:szCs w:val="21"/>
        </w:rPr>
        <w:t xml:space="preserve">An org connects a Twilio WhatsApp sender by supplying its Account SID, Auth Token, and phone number. Inbound messages arrive at a public Twilio webhook (POST /api/inbox/whatsapp/webhook, mounted ahead of the authenticate middleware and specially routed to form-encoded body parsing since Twilio posts application/x-www-form-urlencoded). The webhook resolves the owning org by matching the incoming To number against the stored WhatsAppConfig.phoneNumber (tried raw, normalized, and whatsapp:-prefixed), finds-or-creates a Conversation per sender phone number, de-duplicates by Twilio's MessageSid, and always responds with an empty TwiML 200 — actual replies are sent separately, not via TwiML. Outbound replies are sent through a hand-rolled Twilio REST client (raw Node https module with Basic Auth), not the official Twilio SDK.</w:t>
      </w:r>
    </w:p>
    <w:p>
      <w:pPr>
        <w:pStyle w:val="Heading2"/>
        <w:spacing w:after="160" w:before="360"/>
      </w:pPr>
      <w:r>
        <w:rPr>
          <w:b/>
          <w:bCs/>
          <w:color w:val="1F2937"/>
          <w:sz w:val="26"/>
          <w:szCs w:val="26"/>
        </w:rPr>
        <w:t xml:space="preserve">6.3 Shared Inbox UX</w:t>
      </w:r>
    </w:p>
    <w:p>
      <w:pPr>
        <w:spacing w:after="160" w:line="288"/>
      </w:pPr>
      <w:r>
        <w:rPr>
          <w:sz w:val="21"/>
          <w:szCs w:val="21"/>
        </w:rPr>
        <w:t xml:space="preserve">The conversation list is filterable by channel and status (OPEN/PENDING/CLOSED, or ALL), polled every 30 seconds, and shows unread counts plus each conversation's assignee. Opening a conversation marks all inbound messages read and resets its unread counter. Both channels also broadcast live SSE events (inbox:message) so an open Inbox tab updates immediately without waiting for the next poll. A settings modal lets IT_MANAGERS view (never edit in place — only reconnect or disconnect) the configured email/WhatsApp credentials and trigger a manual re-sync.</w:t>
      </w:r>
    </w:p>
    <w:p>
      <w:r>
        <w:br w:type="page"/>
      </w:r>
    </w:p>
    <w:p>
      <w:pPr>
        <w:pStyle w:val="Heading1"/>
        <w:pBdr>
          <w:bottom w:val="single" w:color="2563EB" w:sz="12" w:space="4"/>
        </w:pBdr>
        <w:spacing w:after="240" w:before="480"/>
      </w:pPr>
      <w:r>
        <w:rPr>
          <w:b/>
          <w:bCs/>
          <w:color w:val="1F2937"/>
          <w:sz w:val="32"/>
          <w:szCs w:val="32"/>
        </w:rPr>
        <w:t xml:space="preserve">7. Workflows — No-Code Automation Engine</w:t>
      </w:r>
    </w:p>
    <w:p>
      <w:pPr>
        <w:spacing w:after="160" w:line="288"/>
      </w:pPr>
      <w:r>
        <w:rPr>
          <w:sz w:val="21"/>
          <w:szCs w:val="21"/>
        </w:rPr>
        <w:t xml:space="preserve">The Workflows module lets managers define if-this-then-that automation rules that react to lifecycle events across the CRM and IT Desk without writing code.</w:t>
      </w:r>
    </w:p>
    <w:p>
      <w:pPr>
        <w:pStyle w:val="Heading2"/>
        <w:spacing w:after="160" w:before="360"/>
      </w:pPr>
      <w:r>
        <w:rPr>
          <w:b/>
          <w:bCs/>
          <w:color w:val="1F2937"/>
          <w:sz w:val="26"/>
          <w:szCs w:val="26"/>
        </w:rPr>
        <w:t xml:space="preserve">7.1 Rule Model</w:t>
      </w:r>
    </w:p>
    <w:p>
      <w:pPr>
        <w:spacing w:after="160" w:line="288"/>
      </w:pPr>
      <w:r>
        <w:rPr>
          <w:sz w:val="21"/>
          <w:szCs w:val="21"/>
        </w:rPr>
        <w:t xml:space="preserve">Each WorkflowRule has a trigger, an array of conditions, and an array of actions, plus an isActive flag and a running runCount. Authoring (create/edit/delete/toggle) is restricted to MANAGERS (SUPER_ADMIN/IT_MANAGER/CRM_MANAGER).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E5E7EB" w:val="clear"/>
            <w:tcMar>
              <w:top w:type="dxa" w:w="60"/>
              <w:left w:type="dxa" w:w="100"/>
              <w:bottom w:type="dxa" w:w="60"/>
              <w:right w:type="dxa" w:w="100"/>
            </w:tcMar>
            <w:vAlign w:val="center"/>
          </w:tcPr>
          <w:p>
            <w:pPr>
              <w:jc w:val="left"/>
            </w:pPr>
            <w:r>
              <w:rPr>
                <w:b/>
                <w:bCs/>
                <w:color w:val="111827"/>
                <w:sz w:val="18"/>
                <w:szCs w:val="18"/>
              </w:rPr>
              <w:t xml:space="preserve">Category</w:t>
            </w:r>
          </w:p>
        </w:tc>
        <w:tc>
          <w:tcPr>
            <w:tcW w:type="dxa" w:w="7000"/>
            <w:shd w:fill="E5E7EB" w:val="clear"/>
            <w:tcMar>
              <w:top w:type="dxa" w:w="60"/>
              <w:left w:type="dxa" w:w="100"/>
              <w:bottom w:type="dxa" w:w="60"/>
              <w:right w:type="dxa" w:w="100"/>
            </w:tcMar>
            <w:vAlign w:val="center"/>
          </w:tcPr>
          <w:p>
            <w:pPr>
              <w:jc w:val="left"/>
            </w:pPr>
            <w:r>
              <w:rPr>
                <w:b/>
                <w:bCs/>
                <w:color w:val="111827"/>
                <w:sz w:val="18"/>
                <w:szCs w:val="18"/>
              </w:rPr>
              <w:t xml:space="preserve">Values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Triggers</w:t>
            </w:r>
          </w:p>
        </w:tc>
        <w:tc>
          <w:tcPr>
            <w:tcW w:type="dxa" w:w="7000"/>
            <w:tcMar>
              <w:top w:type="dxa" w:w="60"/>
              <w:left w:type="dxa" w:w="100"/>
              <w:bottom w:type="dxa" w:w="60"/>
              <w:right w:type="dxa" w:w="100"/>
            </w:tcMar>
            <w:vAlign w:val="center"/>
          </w:tcPr>
          <w:p>
            <w:pPr>
              <w:jc w:val="left"/>
            </w:pPr>
            <w:r>
              <w:rPr>
                <w:b w:val="false"/>
                <w:bCs w:val="false"/>
                <w:sz w:val="18"/>
                <w:szCs w:val="18"/>
              </w:rPr>
              <w:t xml:space="preserve">TICKET_CREATED, TICKET_UPDATED, TICKET_STATUS_CHANGED, LEAD_CREATED, LEAD_STATUS_CHANGED, DEAL_STAGE_CHANGED, DEAL_WON, DEAL_LOST, SLA_BREACH</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Condition operators</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eq, neq, gt, lt, contains, in — evaluated against fields on the fired entity; all conditions in a rule are AND-ed; an empty condition list always matches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Action types (exposed in the API)</w:t>
            </w:r>
          </w:p>
        </w:tc>
        <w:tc>
          <w:tcPr>
            <w:tcW w:type="dxa" w:w="7000"/>
            <w:tcMar>
              <w:top w:type="dxa" w:w="60"/>
              <w:left w:type="dxa" w:w="100"/>
              <w:bottom w:type="dxa" w:w="60"/>
              <w:right w:type="dxa" w:w="100"/>
            </w:tcMar>
            <w:vAlign w:val="center"/>
          </w:tcPr>
          <w:p>
            <w:pPr>
              <w:jc w:val="left"/>
            </w:pPr>
            <w:r>
              <w:rPr>
                <w:b w:val="false"/>
                <w:bCs w:val="false"/>
                <w:sz w:val="18"/>
                <w:szCs w:val="18"/>
              </w:rPr>
              <w:t xml:space="preserve">ASSIGN_TO, SET_PRIORITY, SET_STATUS, SEND_EMAIL, ADD_NOTE, SEND_WEBHOOK, SCORE_LEAD</w:t>
            </w:r>
          </w:p>
        </w:tc>
      </w:tr>
    </w:tbl>
    <w:p>
      <w:pPr>
        <w:pBdr>
          <w:left w:val="single" w:color="D97706" w:sz="24" w:space="8"/>
        </w:pBdr>
        <w:shd w:fill="FEF3C7" w:val="clear"/>
        <w:spacing w:after="160" w:before="120"/>
        <w:ind w:left="100"/>
      </w:pPr>
      <w:r>
        <w:rPr>
          <w:b/>
          <w:bCs/>
          <w:color w:val="92400E"/>
          <w:sz w:val="20"/>
          <w:szCs w:val="20"/>
        </w:rPr>
        <w:t xml:space="preserve">Gap: </w:t>
      </w:r>
      <w:r>
        <w:rPr>
          <w:color w:val="78350F"/>
          <w:sz w:val="20"/>
          <w:szCs w:val="20"/>
        </w:rPr>
        <w:t xml:space="preserve">The workflow engine's internal implementation also recognizes a CREATE_TICKET action type, but the API's request-validation schema does not expose it as an allowed value — meaning it exists in the engine but cannot currently be configured through the product.</w:t>
      </w:r>
    </w:p>
    <w:p>
      <w:pPr>
        <w:pStyle w:val="Heading2"/>
        <w:spacing w:after="160" w:before="360"/>
      </w:pPr>
      <w:r>
        <w:rPr>
          <w:b/>
          <w:bCs/>
          <w:color w:val="1F2937"/>
          <w:sz w:val="26"/>
          <w:szCs w:val="26"/>
        </w:rPr>
        <w:t xml:space="preserve">7.2 Execution</w:t>
      </w:r>
    </w:p>
    <w:p>
      <w:pPr>
        <w:spacing w:after="160" w:line="288"/>
      </w:pPr>
      <w:r>
        <w:rPr>
          <w:sz w:val="21"/>
          <w:szCs w:val="21"/>
        </w:rPr>
        <w:t xml:space="preserve">The engine (runWorkflows) is invoked fire-and-forget from the tickets, leads, and deals controllers whenever a relevant trigger occurs. It loads every active rule for the organization matching that trigger, evaluates conditions against the entity (logging a SKIPPED result and moving on if unmatched), then executes each action in sequence — continuing through remaining actions even if one throws, but marking the overall run ERROR if any action failed. Notable action behaviors:</w:t>
      </w:r>
    </w:p>
    <w:p>
      <w:pPr>
        <w:pStyle w:val="ListParagraph"/>
        <w:numPr>
          <w:ilvl w:val="0"/>
          <w:numId w:val="2"/>
        </w:numPr>
        <w:spacing w:after="90" w:line="276"/>
      </w:pPr>
      <w:r>
        <w:rPr>
          <w:b/>
          <w:bCs/>
          <w:sz w:val="20"/>
          <w:szCs w:val="20"/>
        </w:rPr>
        <w:t xml:space="preserve">SEND_EMAIL</w:t>
      </w:r>
      <w:r>
        <w:rPr>
          <w:sz w:val="20"/>
          <w:szCs w:val="20"/>
        </w:rPr>
        <w:t xml:space="preserve"> resolves {{field}} placeholders against the entity and sends via the org's connected email account, silently skipping if none is configured.</w:t>
      </w:r>
    </w:p>
    <w:p>
      <w:pPr>
        <w:pStyle w:val="ListParagraph"/>
        <w:numPr>
          <w:ilvl w:val="0"/>
          <w:numId w:val="2"/>
        </w:numPr>
        <w:spacing w:after="90" w:line="276"/>
      </w:pPr>
      <w:r>
        <w:rPr>
          <w:b/>
          <w:bCs/>
          <w:sz w:val="20"/>
          <w:szCs w:val="20"/>
        </w:rPr>
        <w:t xml:space="preserve">ADD_NOTE</w:t>
      </w:r>
      <w:r>
        <w:rPr>
          <w:sz w:val="20"/>
          <w:szCs w:val="20"/>
        </w:rPr>
        <w:t xml:space="preserve"> posts a comment as the organization's SUPER_ADMIN, prefixed [Automation].</w:t>
      </w:r>
    </w:p>
    <w:p>
      <w:pPr>
        <w:pStyle w:val="ListParagraph"/>
        <w:numPr>
          <w:ilvl w:val="0"/>
          <w:numId w:val="2"/>
        </w:numPr>
        <w:spacing w:after="90" w:line="276"/>
      </w:pPr>
      <w:r>
        <w:rPr>
          <w:b/>
          <w:bCs/>
          <w:sz w:val="20"/>
          <w:szCs w:val="20"/>
        </w:rPr>
        <w:t xml:space="preserve">SEND_WEBHOOK</w:t>
      </w:r>
      <w:r>
        <w:rPr>
          <w:sz w:val="20"/>
          <w:szCs w:val="20"/>
        </w:rPr>
        <w:t xml:space="preserve"> issues a plain fetch() POST with {trigger, entityType, entityId, entity, timestamp} — there is no signature/HMAC verification and no retry logic.</w:t>
      </w:r>
    </w:p>
    <w:p>
      <w:pPr>
        <w:spacing w:after="160" w:line="288"/>
      </w:pPr>
      <w:r>
        <w:rPr>
          <w:sz w:val="21"/>
          <w:szCs w:val="21"/>
        </w:rPr>
        <w:t xml:space="preserve">Every rule keeps a rolling execution log (up to the last 50 entries surfaced in the UI) recording SUCCESS/SKIPPED/ERROR outcomes, viewable per rule from the Workflows page.</w:t>
      </w:r>
    </w:p>
    <w:p>
      <w:r>
        <w:br w:type="page"/>
      </w:r>
    </w:p>
    <w:p>
      <w:pPr>
        <w:pStyle w:val="Heading1"/>
        <w:pBdr>
          <w:bottom w:val="single" w:color="2563EB" w:sz="12" w:space="4"/>
        </w:pBdr>
        <w:spacing w:after="240" w:before="480"/>
      </w:pPr>
      <w:r>
        <w:rPr>
          <w:b/>
          <w:bCs/>
          <w:color w:val="1F2937"/>
          <w:sz w:val="32"/>
          <w:szCs w:val="32"/>
        </w:rPr>
        <w:t xml:space="preserve">8. AI Features</w:t>
      </w:r>
    </w:p>
    <w:p>
      <w:pPr>
        <w:spacing w:after="160" w:line="288"/>
      </w:pPr>
      <w:r>
        <w:rPr>
          <w:sz w:val="21"/>
          <w:szCs w:val="21"/>
        </w:rPr>
        <w:t xml:space="preserve">AI is the platform's most extensive single feature surface, spanning purpose-built CRM/IT-Desk assists, cross-functional tools, a rule-based "Feature Builder," and a full self-service "AI Studio" for customizing how the AI behaves per organization.</w:t>
      </w:r>
    </w:p>
    <w:p>
      <w:pPr>
        <w:pStyle w:val="Heading2"/>
        <w:spacing w:after="160" w:before="360"/>
      </w:pPr>
      <w:r>
        <w:rPr>
          <w:b/>
          <w:bCs/>
          <w:color w:val="1F2937"/>
          <w:sz w:val="26"/>
          <w:szCs w:val="26"/>
        </w:rPr>
        <w:t xml:space="preserve">8.1 AI Provider &amp; Infrastructure</w:t>
      </w:r>
    </w:p>
    <w:p>
      <w:pPr>
        <w:spacing w:after="160" w:line="288"/>
      </w:pPr>
      <w:r>
        <w:rPr>
          <w:sz w:val="21"/>
          <w:szCs w:val="21"/>
        </w:rPr>
        <w:t xml:space="preserve">All AI calls go through the OpenAI SDK, but pointed at Groq's OpenAI-compatible endpoint (model llama-3.3-70b-versatile, with llama-3.1-8b-instant for lighter tasks) when GROQ_API_KEY is configured, falling back to genuine OpenAI (gpt-4o / gpt-4o-mini) otherwise. A shared error handler translates provider rate-limit/quota errors into HTTP 402 and bad-API-key errors into 401 with actionable messages. An in-memory 5-minute response cache, keyed by (model, systemPrompt, userPrompt), avoids re-billing identical repeated calls. This provider-selection logic is implemented independently in three separate places in the codebase (the shared AI utility, the AI rules controller, and the AI Studio controller) rather than shared from one location.</w:t>
      </w:r>
    </w:p>
    <w:p>
      <w:pPr>
        <w:pStyle w:val="Heading2"/>
        <w:spacing w:after="160" w:before="360"/>
      </w:pPr>
      <w:r>
        <w:rPr>
          <w:b/>
          <w:bCs/>
          <w:color w:val="1F2937"/>
          <w:sz w:val="26"/>
          <w:szCs w:val="26"/>
        </w:rPr>
        <w:t xml:space="preserve">8.2 CRM AI Capabilities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E5E7EB" w:val="clear"/>
            <w:tcMar>
              <w:top w:type="dxa" w:w="60"/>
              <w:left w:type="dxa" w:w="100"/>
              <w:bottom w:type="dxa" w:w="60"/>
              <w:right w:type="dxa" w:w="100"/>
            </w:tcMar>
            <w:vAlign w:val="center"/>
          </w:tcPr>
          <w:p>
            <w:pPr>
              <w:jc w:val="left"/>
            </w:pPr>
            <w:r>
              <w:rPr>
                <w:b/>
                <w:bCs/>
                <w:color w:val="111827"/>
                <w:sz w:val="18"/>
                <w:szCs w:val="18"/>
              </w:rPr>
              <w:t xml:space="preserve">Capability</w:t>
            </w:r>
          </w:p>
        </w:tc>
        <w:tc>
          <w:tcPr>
            <w:tcW w:type="dxa" w:w="7000"/>
            <w:shd w:fill="E5E7EB" w:val="clear"/>
            <w:tcMar>
              <w:top w:type="dxa" w:w="60"/>
              <w:left w:type="dxa" w:w="100"/>
              <w:bottom w:type="dxa" w:w="60"/>
              <w:right w:type="dxa" w:w="100"/>
            </w:tcMar>
            <w:vAlign w:val="center"/>
          </w:tcPr>
          <w:p>
            <w:pPr>
              <w:jc w:val="left"/>
            </w:pPr>
            <w:r>
              <w:rPr>
                <w:b/>
                <w:bCs/>
                <w:color w:val="111827"/>
                <w:sz w:val="18"/>
                <w:szCs w:val="18"/>
              </w:rPr>
              <w:t xml:space="preserve">What it does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Lead scoring</w:t>
            </w:r>
          </w:p>
        </w:tc>
        <w:tc>
          <w:tcPr>
            <w:tcW w:type="dxa" w:w="7000"/>
            <w:tcMar>
              <w:top w:type="dxa" w:w="60"/>
              <w:left w:type="dxa" w:w="100"/>
              <w:bottom w:type="dxa" w:w="60"/>
              <w:right w:type="dxa" w:w="100"/>
            </w:tcMar>
            <w:vAlign w:val="center"/>
          </w:tcPr>
          <w:p>
            <w:pPr>
              <w:jc w:val="left"/>
            </w:pPr>
            <w:r>
              <w:rPr>
                <w:b w:val="false"/>
                <w:bCs w:val="false"/>
                <w:sz w:val="18"/>
                <w:szCs w:val="18"/>
              </w:rPr>
              <w:t xml:space="preserve">Scores a lead and persists the score + a plain-language reason on the record; a bulk variant scores up to 50 unscored leads in one call.</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Lead follow-up email</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Drafts a follow-up email for a specific lead.</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Lead nurture sequence</w:t>
            </w:r>
          </w:p>
        </w:tc>
        <w:tc>
          <w:tcPr>
            <w:tcW w:type="dxa" w:w="7000"/>
            <w:tcMar>
              <w:top w:type="dxa" w:w="60"/>
              <w:left w:type="dxa" w:w="100"/>
              <w:bottom w:type="dxa" w:w="60"/>
              <w:right w:type="dxa" w:w="100"/>
            </w:tcMar>
            <w:vAlign w:val="center"/>
          </w:tcPr>
          <w:p>
            <w:pPr>
              <w:jc w:val="left"/>
            </w:pPr>
            <w:r>
              <w:rPr>
                <w:b w:val="false"/>
                <w:bCs w:val="false"/>
                <w:sz w:val="18"/>
                <w:szCs w:val="18"/>
              </w:rPr>
              <w:t xml:space="preserve">Generates a multi-touch (3-step) email nurture sequence.</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Deal follow-up email</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Drafts a follow-up email tailored to a specific deal.</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Deal win-probability</w:t>
            </w:r>
          </w:p>
        </w:tc>
        <w:tc>
          <w:tcPr>
            <w:tcW w:type="dxa" w:w="7000"/>
            <w:tcMar>
              <w:top w:type="dxa" w:w="60"/>
              <w:left w:type="dxa" w:w="100"/>
              <w:bottom w:type="dxa" w:w="60"/>
              <w:right w:type="dxa" w:w="100"/>
            </w:tcMar>
            <w:vAlign w:val="center"/>
          </w:tcPr>
          <w:p>
            <w:pPr>
              <w:jc w:val="left"/>
            </w:pPr>
            <w:r>
              <w:rPr>
                <w:b w:val="false"/>
                <w:bCs w:val="false"/>
                <w:sz w:val="18"/>
                <w:szCs w:val="18"/>
              </w:rPr>
              <w:t xml:space="preserve">Feeds the org's historical win rate and the deal's days-open into the model to estimate a close probability.</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Deal close-date prediction</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Predicts a likely close date from the org's historical average days-to-close for won deals at the same stage.</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Pipeline health report</w:t>
            </w:r>
          </w:p>
        </w:tc>
        <w:tc>
          <w:tcPr>
            <w:tcW w:type="dxa" w:w="7000"/>
            <w:tcMar>
              <w:top w:type="dxa" w:w="60"/>
              <w:left w:type="dxa" w:w="100"/>
              <w:bottom w:type="dxa" w:w="60"/>
              <w:right w:type="dxa" w:w="100"/>
            </w:tcMar>
            <w:vAlign w:val="center"/>
          </w:tcPr>
          <w:p>
            <w:pPr>
              <w:jc w:val="left"/>
            </w:pPr>
            <w:r>
              <w:rPr>
                <w:b w:val="false"/>
                <w:bCs w:val="false"/>
                <w:sz w:val="18"/>
                <w:szCs w:val="18"/>
              </w:rPr>
              <w:t xml:space="preserve">Aggregate report across all open deals: stale-deal detection (no movement in 14+ days), stage breakdown, average deal age.</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Contact churn risk</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Estimates churn risk from a contact's recent ticket sentiment history.</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Contact health score</w:t>
            </w:r>
          </w:p>
        </w:tc>
        <w:tc>
          <w:tcPr>
            <w:tcW w:type="dxa" w:w="7000"/>
            <w:tcMar>
              <w:top w:type="dxa" w:w="60"/>
              <w:left w:type="dxa" w:w="100"/>
              <w:bottom w:type="dxa" w:w="60"/>
              <w:right w:type="dxa" w:w="100"/>
            </w:tcMar>
            <w:vAlign w:val="center"/>
          </w:tcPr>
          <w:p>
            <w:pPr>
              <w:jc w:val="left"/>
            </w:pPr>
            <w:r>
              <w:rPr>
                <w:b w:val="false"/>
                <w:bCs w:val="false"/>
                <w:sz w:val="18"/>
                <w:szCs w:val="18"/>
              </w:rPr>
              <w:t xml:space="preserve">Scores overall account health from deal and activity counts.</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Competitor detection</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Scans arbitrary free text for competitor mentions.</w:t>
            </w:r>
          </w:p>
        </w:tc>
      </w:tr>
    </w:tbl>
    <w:p>
      <w:pPr>
        <w:pStyle w:val="Heading2"/>
        <w:spacing w:after="160" w:before="360"/>
      </w:pPr>
      <w:r>
        <w:rPr>
          <w:b/>
          <w:bCs/>
          <w:color w:val="1F2937"/>
          <w:sz w:val="26"/>
          <w:szCs w:val="26"/>
        </w:rPr>
        <w:t xml:space="preserve">8.3 IT Desk AI Capabilities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E5E7EB" w:val="clear"/>
            <w:tcMar>
              <w:top w:type="dxa" w:w="60"/>
              <w:left w:type="dxa" w:w="100"/>
              <w:bottom w:type="dxa" w:w="60"/>
              <w:right w:type="dxa" w:w="100"/>
            </w:tcMar>
            <w:vAlign w:val="center"/>
          </w:tcPr>
          <w:p>
            <w:pPr>
              <w:jc w:val="left"/>
            </w:pPr>
            <w:r>
              <w:rPr>
                <w:b/>
                <w:bCs/>
                <w:color w:val="111827"/>
                <w:sz w:val="18"/>
                <w:szCs w:val="18"/>
              </w:rPr>
              <w:t xml:space="preserve">Capability</w:t>
            </w:r>
          </w:p>
        </w:tc>
        <w:tc>
          <w:tcPr>
            <w:tcW w:type="dxa" w:w="7000"/>
            <w:shd w:fill="E5E7EB" w:val="clear"/>
            <w:tcMar>
              <w:top w:type="dxa" w:w="60"/>
              <w:left w:type="dxa" w:w="100"/>
              <w:bottom w:type="dxa" w:w="60"/>
              <w:right w:type="dxa" w:w="100"/>
            </w:tcMar>
            <w:vAlign w:val="center"/>
          </w:tcPr>
          <w:p>
            <w:pPr>
              <w:jc w:val="left"/>
            </w:pPr>
            <w:r>
              <w:rPr>
                <w:b/>
                <w:bCs/>
                <w:color w:val="111827"/>
                <w:sz w:val="18"/>
                <w:szCs w:val="18"/>
              </w:rPr>
              <w:t xml:space="preserve">What it does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Sentiment detection</w:t>
            </w:r>
          </w:p>
        </w:tc>
        <w:tc>
          <w:tcPr>
            <w:tcW w:type="dxa" w:w="7000"/>
            <w:tcMar>
              <w:top w:type="dxa" w:w="60"/>
              <w:left w:type="dxa" w:w="100"/>
              <w:bottom w:type="dxa" w:w="60"/>
              <w:right w:type="dxa" w:w="100"/>
            </w:tcMar>
            <w:vAlign w:val="center"/>
          </w:tcPr>
          <w:p>
            <w:pPr>
              <w:jc w:val="left"/>
            </w:pPr>
            <w:r>
              <w:rPr>
                <w:b w:val="false"/>
                <w:bCs w:val="false"/>
                <w:sz w:val="18"/>
                <w:szCs w:val="18"/>
              </w:rPr>
              <w:t xml:space="preserve">Analyzes a ticket's tone and persists a sentiment value on the record.</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Reply suggestion</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Drafts a suggested reply, retrieval-augmented with up to 3 relevant published KB articles.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Auto-routing</w:t>
            </w:r>
          </w:p>
        </w:tc>
        <w:tc>
          <w:tcPr>
            <w:tcW w:type="dxa" w:w="7000"/>
            <w:tcMar>
              <w:top w:type="dxa" w:w="60"/>
              <w:left w:type="dxa" w:w="100"/>
              <w:bottom w:type="dxa" w:w="60"/>
              <w:right w:type="dxa" w:w="100"/>
            </w:tcMar>
            <w:vAlign w:val="center"/>
          </w:tcPr>
          <w:p>
            <w:pPr>
              <w:jc w:val="left"/>
            </w:pPr>
            <w:r>
              <w:rPr>
                <w:b w:val="false"/>
                <w:bCs w:val="false"/>
                <w:sz w:val="18"/>
                <w:szCs w:val="18"/>
              </w:rPr>
              <w:t xml:space="preserve">Suggests a category and assignee; an apply flag lets the caller have the suggestion written directly to the ticket.</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Duplicate detection</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Compares a draft ticket against the last 30 open tickets to flag likely duplicates before it's even submitted.</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KB article drafting</w:t>
            </w:r>
          </w:p>
        </w:tc>
        <w:tc>
          <w:tcPr>
            <w:tcW w:type="dxa" w:w="7000"/>
            <w:tcMar>
              <w:top w:type="dxa" w:w="60"/>
              <w:left w:type="dxa" w:w="100"/>
              <w:bottom w:type="dxa" w:w="60"/>
              <w:right w:type="dxa" w:w="100"/>
            </w:tcMar>
            <w:vAlign w:val="center"/>
          </w:tcPr>
          <w:p>
            <w:pPr>
              <w:jc w:val="left"/>
            </w:pPr>
            <w:r>
              <w:rPr>
                <w:b w:val="false"/>
                <w:bCs w:val="false"/>
                <w:sz w:val="18"/>
                <w:szCs w:val="18"/>
              </w:rPr>
              <w:t xml:space="preserve">Generates a knowledge-base article from a resolved ticket and its full comment thread.</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Thread summarization</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Summarizes a ticket's comment thread.</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Resolution-time estimate</w:t>
            </w:r>
          </w:p>
        </w:tc>
        <w:tc>
          <w:tcPr>
            <w:tcW w:type="dxa" w:w="7000"/>
            <w:tcMar>
              <w:top w:type="dxa" w:w="60"/>
              <w:left w:type="dxa" w:w="100"/>
              <w:bottom w:type="dxa" w:w="60"/>
              <w:right w:type="dxa" w:w="100"/>
            </w:tcMar>
            <w:vAlign w:val="center"/>
          </w:tcPr>
          <w:p>
            <w:pPr>
              <w:jc w:val="left"/>
            </w:pPr>
            <w:r>
              <w:rPr>
                <w:b w:val="false"/>
                <w:bCs w:val="false"/>
                <w:sz w:val="18"/>
                <w:szCs w:val="18"/>
              </w:rPr>
              <w:t xml:space="preserve">Estimates how long the ticket will take to resolve.</w:t>
            </w:r>
          </w:p>
        </w:tc>
      </w:tr>
      <w:tr>
        <w:tc>
          <w:tcPr>
            <w:tcW w:type="dxa" w:w="2600"/>
            <w:shd w:fill="F9FAFB" w:val="clear"/>
            <w:tcMar>
              <w:top w:type="dxa" w:w="60"/>
              <w:left w:type="dxa" w:w="100"/>
              <w:bottom w:type="dxa" w:w="60"/>
              <w:right w:type="dxa" w:w="100"/>
            </w:tcMar>
            <w:vAlign w:val="center"/>
          </w:tcPr>
          <w:p>
            <w:pPr>
              <w:jc w:val="left"/>
            </w:pPr>
            <w:r>
              <w:rPr>
                <w:b w:val="false"/>
                <w:bCs w:val="false"/>
                <w:sz w:val="18"/>
                <w:szCs w:val="18"/>
              </w:rPr>
              <w:t xml:space="preserve">SLA-risk scoring</w:t>
            </w:r>
          </w:p>
        </w:tc>
        <w:tc>
          <w:tcPr>
            <w:tcW w:type="dxa" w:w="7000"/>
            <w:shd w:fill="F9FAFB" w:val="clear"/>
            <w:tcMar>
              <w:top w:type="dxa" w:w="60"/>
              <w:left w:type="dxa" w:w="100"/>
              <w:bottom w:type="dxa" w:w="60"/>
              <w:right w:type="dxa" w:w="100"/>
            </w:tcMar>
            <w:vAlign w:val="center"/>
          </w:tcPr>
          <w:p>
            <w:pPr>
              <w:jc w:val="left"/>
            </w:pPr>
            <w:r>
              <w:rPr>
                <w:b w:val="false"/>
                <w:bCs w:val="false"/>
                <w:sz w:val="18"/>
                <w:szCs w:val="18"/>
              </w:rPr>
              <w:t xml:space="preserve">Predicts breach risk, factoring in comment/response counts so far.</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Auto-tagging</w:t>
            </w:r>
          </w:p>
        </w:tc>
        <w:tc>
          <w:tcPr>
            <w:tcW w:type="dxa" w:w="7000"/>
            <w:tcMar>
              <w:top w:type="dxa" w:w="60"/>
              <w:left w:type="dxa" w:w="100"/>
              <w:bottom w:type="dxa" w:w="60"/>
              <w:right w:type="dxa" w:w="100"/>
            </w:tcMar>
            <w:vAlign w:val="center"/>
          </w:tcPr>
          <w:p>
            <w:pPr>
              <w:jc w:val="left"/>
            </w:pPr>
            <w:r>
              <w:rPr>
                <w:b w:val="false"/>
                <w:bCs w:val="false"/>
                <w:sz w:val="18"/>
                <w:szCs w:val="18"/>
              </w:rPr>
              <w:t xml:space="preserve">Suggests tags for a ticket.</w:t>
            </w:r>
          </w:p>
        </w:tc>
      </w:tr>
    </w:tbl>
    <w:p>
      <w:pPr>
        <w:pStyle w:val="Heading2"/>
        <w:spacing w:after="160" w:before="360"/>
      </w:pPr>
      <w:r>
        <w:rPr>
          <w:b/>
          <w:bCs/>
          <w:color w:val="1F2937"/>
          <w:sz w:val="26"/>
          <w:szCs w:val="26"/>
        </w:rPr>
        <w:t xml:space="preserve">8.4 Cross-Functional AI</w:t>
      </w:r>
    </w:p>
    <w:p>
      <w:pPr>
        <w:pStyle w:val="ListParagraph"/>
        <w:numPr>
          <w:ilvl w:val="0"/>
          <w:numId w:val="2"/>
        </w:numPr>
        <w:spacing w:after="90" w:line="276"/>
      </w:pPr>
      <w:r>
        <w:rPr>
          <w:b/>
          <w:bCs/>
          <w:sz w:val="20"/>
          <w:szCs w:val="20"/>
        </w:rPr>
        <w:t xml:space="preserve">Natural-language dashboard Q&amp;A </w:t>
      </w:r>
      <w:r>
        <w:rPr>
          <w:sz w:val="20"/>
          <w:szCs w:val="20"/>
        </w:rPr>
        <w:t xml:space="preserve">(MANAGERS) — answers free-text questions grounded in live counts (deals, contacts, tickets, leads) and forecast revenue.</w:t>
      </w:r>
    </w:p>
    <w:p>
      <w:pPr>
        <w:pStyle w:val="ListParagraph"/>
        <w:numPr>
          <w:ilvl w:val="0"/>
          <w:numId w:val="2"/>
        </w:numPr>
        <w:spacing w:after="90" w:line="276"/>
      </w:pPr>
      <w:r>
        <w:rPr>
          <w:b/>
          <w:bCs/>
          <w:sz w:val="20"/>
          <w:szCs w:val="20"/>
        </w:rPr>
        <w:t xml:space="preserve">Proactive insights </w:t>
      </w:r>
      <w:r>
        <w:rPr>
          <w:sz w:val="20"/>
          <w:szCs w:val="20"/>
        </w:rPr>
        <w:t xml:space="preserve">(MANAGERS) — a generated feed of warning/success/info cards: stale deals, SLA breaches, negative-sentiment tickets, weekly growth trends.</w:t>
      </w:r>
    </w:p>
    <w:p>
      <w:pPr>
        <w:pStyle w:val="ListParagraph"/>
        <w:numPr>
          <w:ilvl w:val="0"/>
          <w:numId w:val="2"/>
        </w:numPr>
        <w:spacing w:after="90" w:line="276"/>
      </w:pPr>
      <w:r>
        <w:rPr>
          <w:b/>
          <w:bCs/>
          <w:sz w:val="20"/>
          <w:szCs w:val="20"/>
        </w:rPr>
        <w:t xml:space="preserve">Meeting notes parser </w:t>
      </w:r>
      <w:r>
        <w:rPr>
          <w:sz w:val="20"/>
          <w:szCs w:val="20"/>
        </w:rPr>
        <w:t xml:space="preserve">(all staff) — turns pasted free-text meeting notes into structured contact/lead/deal/next-step cards.</w:t>
      </w:r>
    </w:p>
    <w:p>
      <w:pPr>
        <w:pStyle w:val="ListParagraph"/>
        <w:numPr>
          <w:ilvl w:val="0"/>
          <w:numId w:val="2"/>
        </w:numPr>
        <w:spacing w:after="90" w:line="276"/>
      </w:pPr>
      <w:r>
        <w:rPr>
          <w:b/>
          <w:bCs/>
          <w:sz w:val="20"/>
          <w:szCs w:val="20"/>
        </w:rPr>
        <w:t xml:space="preserve">Tone check </w:t>
      </w:r>
      <w:r>
        <w:rPr>
          <w:sz w:val="20"/>
          <w:szCs w:val="20"/>
        </w:rPr>
        <w:t xml:space="preserve">(all staff) — reviews an email draft's tone before sending.</w:t>
      </w:r>
    </w:p>
    <w:p>
      <w:pPr>
        <w:pStyle w:val="ListParagraph"/>
        <w:numPr>
          <w:ilvl w:val="0"/>
          <w:numId w:val="2"/>
        </w:numPr>
        <w:spacing w:after="90" w:line="276"/>
      </w:pPr>
      <w:r>
        <w:rPr>
          <w:b/>
          <w:bCs/>
          <w:sz w:val="20"/>
          <w:szCs w:val="20"/>
        </w:rPr>
        <w:t xml:space="preserve">Natural-language command bar </w:t>
      </w:r>
      <w:r>
        <w:rPr>
          <w:sz w:val="20"/>
          <w:szCs w:val="20"/>
        </w:rPr>
        <w:t xml:space="preserve">(all staff, Ctrl/Cmd+K) — parses a free-text instruction into an intent, entity type, and field values using the org's live users/categories/contacts as context, then deep-links into the matching create flow.</w:t>
      </w:r>
    </w:p>
    <w:p>
      <w:pPr>
        <w:pStyle w:val="Heading2"/>
        <w:spacing w:after="160" w:before="360"/>
      </w:pPr>
      <w:r>
        <w:rPr>
          <w:b/>
          <w:bCs/>
          <w:color w:val="1F2937"/>
          <w:sz w:val="26"/>
          <w:szCs w:val="26"/>
        </w:rPr>
        <w:t xml:space="preserve">8.5 AI Feature Builder (Custom Rules)</w:t>
      </w:r>
    </w:p>
    <w:p>
      <w:pPr>
        <w:spacing w:after="160" w:line="288"/>
      </w:pPr>
      <w:r>
        <w:rPr>
          <w:sz w:val="21"/>
          <w:szCs w:val="21"/>
        </w:rPr>
        <w:t xml:space="preserve">Distinct from the Workflows engine (section 7), the AI Feature Builder lets managers define AICustomRule records that pair a trigger (TICKET_CREATED, LEAD_SCORED, DEAL_STAGE_CHANGED, CONTACT_UPDATED, TICKET_RESOLVED, or MANUAL) with an action (TAG, ROUTE, EMAIL, NOTIFY, SCORE, SUMMARIZE, or CUSTOM_PROMPT). Any staff member can run a rule on demand against either a specific entity or free-typed input text, with results shown via a typewriter-style animated output and quick-start templates offered to get started faster.</w:t>
      </w:r>
    </w:p>
    <w:p>
      <w:pPr>
        <w:pStyle w:val="Heading2"/>
        <w:spacing w:after="160" w:before="360"/>
      </w:pPr>
      <w:r>
        <w:rPr>
          <w:b/>
          <w:bCs/>
          <w:color w:val="1F2937"/>
          <w:sz w:val="26"/>
          <w:szCs w:val="26"/>
        </w:rPr>
        <w:t xml:space="preserve">8.6 AI Studio</w:t>
      </w:r>
    </w:p>
    <w:p>
      <w:pPr>
        <w:spacing w:after="160" w:line="288"/>
      </w:pPr>
      <w:r>
        <w:rPr>
          <w:sz w:val="21"/>
          <w:szCs w:val="21"/>
        </w:rPr>
        <w:t xml:space="preserve">AI Studio is a deeper, three-part configuration surface for shaping how AI behaves across the whole organization, gated to MANAGERS for editing (running/using is generally open to all staff):</w:t>
      </w:r>
    </w:p>
    <w:p>
      <w:pPr>
        <w:pStyle w:val="ListParagraph"/>
        <w:numPr>
          <w:ilvl w:val="0"/>
          <w:numId w:val="5"/>
        </w:numPr>
        <w:spacing w:after="90" w:line="276"/>
      </w:pPr>
      <w:r>
        <w:rPr>
          <w:b/>
          <w:bCs/>
          <w:sz w:val="20"/>
          <w:szCs w:val="20"/>
        </w:rPr>
        <w:t xml:space="preserve">Business Context </w:t>
      </w:r>
      <w:r>
        <w:rPr>
          <w:sz w:val="20"/>
          <w:szCs w:val="20"/>
        </w:rPr>
        <w:t xml:space="preserve">— a single org-wide record capturing industry, a company description, a custom terminology dictionary (term → definition), free-text extra system instructions, and a response tone (professional/casual/technical). This is built into a system-prompt prefix injected ahead of every other AI feature and every Custom Function, so the whole platform can be personalized without touching individual prompts.</w:t>
      </w:r>
    </w:p>
    <w:p>
      <w:pPr>
        <w:pStyle w:val="ListParagraph"/>
        <w:numPr>
          <w:ilvl w:val="0"/>
          <w:numId w:val="5"/>
        </w:numPr>
        <w:spacing w:after="90" w:line="276"/>
      </w:pPr>
      <w:r>
        <w:rPr>
          <w:b/>
          <w:bCs/>
          <w:sz w:val="20"/>
          <w:szCs w:val="20"/>
        </w:rPr>
        <w:t xml:space="preserve">Custom AI Functions </w:t>
      </w:r>
      <w:r>
        <w:rPr>
          <w:sz w:val="20"/>
          <w:szCs w:val="20"/>
        </w:rPr>
        <w:t xml:space="preserve">— reusable, user-authored AI "functions" with a name, a system prompt, a typed input schema (text/number/boolean/select fields), and an output type (text/json/number). Running one merges the org's Business Context with the function's own prompt, builds a user message from the supplied inputs, and parses the model's response according to the declared output type. Each run increments a usage counter.</w:t>
      </w:r>
    </w:p>
    <w:p>
      <w:pPr>
        <w:pStyle w:val="ListParagraph"/>
        <w:numPr>
          <w:ilvl w:val="0"/>
          <w:numId w:val="5"/>
        </w:numPr>
        <w:spacing w:after="90" w:line="276"/>
      </w:pPr>
      <w:r>
        <w:rPr>
          <w:b/>
          <w:bCs/>
          <w:sz w:val="20"/>
          <w:szCs w:val="20"/>
        </w:rPr>
        <w:t xml:space="preserve">Custom Scripts </w:t>
      </w:r>
      <w:r>
        <w:rPr>
          <w:sz w:val="20"/>
          <w:szCs w:val="20"/>
        </w:rPr>
        <w:t xml:space="preserve">— small JavaScript snippets bound to an entity type (ticket/contact/deal/lead/asset/global) and a form-lifecycle trigger (onLoad/onChange/onSubmit/onValidate/onFieldChange), optionally targeting one specific field. A server-side validate endpoint performs a syntax-only check (wrapping the script body in new Function(...) inside a try/catch without ever invoking it); actual execution happens client-side inside a sandboxed script engine that shadows window/document/fetch/XMLHttpRequest/eval to undefined and exposes a context.ai() bridge back into the AI endpoints.</w:t>
      </w:r>
    </w:p>
    <w:p>
      <w:pPr>
        <w:pBdr>
          <w:left w:val="single" w:color="D97706" w:sz="24" w:space="8"/>
        </w:pBdr>
        <w:shd w:fill="FEF3C7" w:val="clear"/>
        <w:spacing w:after="160" w:before="120"/>
        <w:ind w:left="100"/>
      </w:pPr>
      <w:r>
        <w:rPr>
          <w:b/>
          <w:bCs/>
          <w:color w:val="92400E"/>
          <w:sz w:val="20"/>
          <w:szCs w:val="20"/>
        </w:rPr>
        <w:t xml:space="preserve">Security note: </w:t>
      </w:r>
      <w:r>
        <w:rPr>
          <w:color w:val="78350F"/>
          <w:sz w:val="20"/>
          <w:szCs w:val="20"/>
        </w:rPr>
        <w:t xml:space="preserve">The Custom Scripts sandbox (new Function(...) plus shadowed globals) blocks the most obvious escape routes but is not an airtight security boundary against a sufficiently determined author — this is worth keeping in mind given scripts are org-authored and run in the same browser context as the rest of the app.</w:t>
      </w:r>
    </w:p>
    <w:p>
      <w:r>
        <w:br w:type="page"/>
      </w:r>
    </w:p>
    <w:p>
      <w:pPr>
        <w:pStyle w:val="Heading1"/>
        <w:pBdr>
          <w:bottom w:val="single" w:color="2563EB" w:sz="12" w:space="4"/>
        </w:pBdr>
        <w:spacing w:after="240" w:before="480"/>
      </w:pPr>
      <w:r>
        <w:rPr>
          <w:b/>
          <w:bCs/>
          <w:color w:val="1F2937"/>
          <w:sz w:val="32"/>
          <w:szCs w:val="32"/>
        </w:rPr>
        <w:t xml:space="preserve">9. Analytics &amp; Reporting</w:t>
      </w:r>
    </w:p>
    <w:p>
      <w:pPr>
        <w:spacing w:after="160" w:line="288"/>
      </w:pPr>
      <w:r>
        <w:rPr>
          <w:sz w:val="21"/>
          <w:szCs w:val="21"/>
        </w:rPr>
        <w:t xml:space="preserve">Two overlapping-but-distinct reporting surfaces exist side by side: an older core/reports module and a newer, more advanced analytics module. Both remain wired into the API and the frontend.</w:t>
      </w:r>
    </w:p>
    <w:p>
      <w:pPr>
        <w:pStyle w:val="Heading2"/>
        <w:spacing w:after="160" w:before="360"/>
      </w:pPr>
      <w:r>
        <w:rPr>
          <w:b/>
          <w:bCs/>
          <w:color w:val="1F2937"/>
          <w:sz w:val="26"/>
          <w:szCs w:val="26"/>
        </w:rPr>
        <w:t xml:space="preserve">9.1 Analytics (Recharts dashboards, /api/analytics)</w:t>
      </w:r>
    </w:p>
    <w:p>
      <w:pPr>
        <w:pStyle w:val="ListParagraph"/>
        <w:numPr>
          <w:ilvl w:val="0"/>
          <w:numId w:val="2"/>
        </w:numPr>
        <w:spacing w:after="90" w:line="276"/>
      </w:pPr>
      <w:r>
        <w:rPr>
          <w:b/>
          <w:bCs/>
          <w:sz w:val="20"/>
          <w:szCs w:val="20"/>
        </w:rPr>
        <w:t xml:space="preserve">Overview </w:t>
      </w:r>
      <w:r>
        <w:rPr>
          <w:sz w:val="20"/>
          <w:szCs w:val="20"/>
        </w:rPr>
        <w:t xml:space="preserve">(MANAGERS) — 30-day vs. prior-30-day percentage change for open tickets, new leads, and won-deal revenue, plus average resolution time.</w:t>
      </w:r>
    </w:p>
    <w:p>
      <w:pPr>
        <w:pStyle w:val="ListParagraph"/>
        <w:numPr>
          <w:ilvl w:val="0"/>
          <w:numId w:val="2"/>
        </w:numPr>
        <w:spacing w:after="90" w:line="276"/>
      </w:pPr>
      <w:r>
        <w:rPr>
          <w:b/>
          <w:bCs/>
          <w:sz w:val="20"/>
          <w:szCs w:val="20"/>
        </w:rPr>
        <w:t xml:space="preserve">Ticket analytics </w:t>
      </w:r>
      <w:r>
        <w:rPr>
          <w:sz w:val="20"/>
          <w:szCs w:val="20"/>
        </w:rPr>
        <w:t xml:space="preserve">(IT_MANAGERS) — daily created/resolved series over a selectable window (default 30 days) with a 7-day forecast computed by a simple least-squares linear regression over the daily series (clamped to never go negative), plus status/priority/category breakdowns and an SLA-compliance percentage.</w:t>
      </w:r>
    </w:p>
    <w:p>
      <w:pPr>
        <w:pStyle w:val="ListParagraph"/>
        <w:numPr>
          <w:ilvl w:val="0"/>
          <w:numId w:val="2"/>
        </w:numPr>
        <w:spacing w:after="90" w:line="276"/>
      </w:pPr>
      <w:r>
        <w:rPr>
          <w:b/>
          <w:bCs/>
          <w:sz w:val="20"/>
          <w:szCs w:val="20"/>
        </w:rPr>
        <w:t xml:space="preserve">CRM analytics </w:t>
      </w:r>
      <w:r>
        <w:rPr>
          <w:sz w:val="20"/>
          <w:szCs w:val="20"/>
        </w:rPr>
        <w:t xml:space="preserve">(CRM_MANAGERS) — lead funnel by status, daily lead volume, pipeline value by stage, win rate, a daily revenue-from-won-deals series, and the lead-to-deal conversion rate.</w:t>
      </w:r>
    </w:p>
    <w:p>
      <w:pPr>
        <w:spacing w:after="160" w:line="288"/>
      </w:pPr>
      <w:r>
        <w:rPr>
          <w:sz w:val="21"/>
          <w:szCs w:val="21"/>
        </w:rPr>
        <w:t xml:space="preserve">The Analytics page renders all of this with Recharts (area/line/bar/donut/pie charts), a 7/14/30/90-day range selector, and a client-side "Export CSV" button on each chart section.</w:t>
      </w:r>
    </w:p>
    <w:p>
      <w:pPr>
        <w:pStyle w:val="Heading2"/>
        <w:spacing w:after="160" w:before="360"/>
      </w:pPr>
      <w:r>
        <w:rPr>
          <w:b/>
          <w:bCs/>
          <w:color w:val="1F2937"/>
          <w:sz w:val="26"/>
          <w:szCs w:val="26"/>
        </w:rPr>
        <w:t xml:space="preserve">9.2 Legacy Reports (/api/reports)</w:t>
      </w:r>
    </w:p>
    <w:p>
      <w:pPr>
        <w:spacing w:after="160" w:line="288"/>
      </w:pPr>
      <w:r>
        <w:rPr>
          <w:sz w:val="21"/>
          <w:szCs w:val="21"/>
        </w:rPr>
        <w:t xml:space="preserve">A simpler, tab-based Reports page covers the same two domains with a fixed 30-day window: ticket volume, resolution time by priority bucket, SLA compliance, and status breakdown for IT Desk; deal volume, a probability-weighted pipeline forecast by stage, win rate, and top contacts by open deal value for CRM.</w:t>
      </w:r>
    </w:p>
    <w:p>
      <w:r>
        <w:br w:type="page"/>
      </w:r>
    </w:p>
    <w:p>
      <w:pPr>
        <w:pStyle w:val="Heading1"/>
        <w:pBdr>
          <w:bottom w:val="single" w:color="2563EB" w:sz="12" w:space="4"/>
        </w:pBdr>
        <w:spacing w:after="240" w:before="480"/>
      </w:pPr>
      <w:r>
        <w:rPr>
          <w:b/>
          <w:bCs/>
          <w:color w:val="1F2937"/>
          <w:sz w:val="32"/>
          <w:szCs w:val="32"/>
        </w:rPr>
        <w:t xml:space="preserve">10. Integrations</w:t>
      </w:r>
    </w:p>
    <w:p>
      <w:pPr>
        <w:pStyle w:val="Heading2"/>
        <w:spacing w:after="160" w:before="360"/>
      </w:pPr>
      <w:r>
        <w:rPr>
          <w:b/>
          <w:bCs/>
          <w:color w:val="1F2937"/>
          <w:sz w:val="26"/>
          <w:szCs w:val="26"/>
        </w:rPr>
        <w:t xml:space="preserve">10.1 Slack</w:t>
      </w:r>
    </w:p>
    <w:p>
      <w:pPr>
        <w:spacing w:after="160" w:line="288"/>
      </w:pPr>
      <w:r>
        <w:rPr>
          <w:sz w:val="21"/>
          <w:szCs w:val="21"/>
        </w:rPr>
        <w:t xml:space="preserve">IT_MANAGERS configure an incoming webhook URL, a target channel, and five independent toggle switches: notify on new ticket, on critical ticket, on SLA breach, on deal won, and on new lead. A test-send button posts a canned confirmation message. In practice, notifications are posted fire-and-forget from the tickets/leads/deals controllers whenever the corresponding event occurs and the org's toggle for it is on.</w:t>
      </w:r>
    </w:p>
    <w:p>
      <w:pPr>
        <w:pStyle w:val="Heading2"/>
        <w:spacing w:after="160" w:before="360"/>
      </w:pPr>
      <w:r>
        <w:rPr>
          <w:b/>
          <w:bCs/>
          <w:color w:val="1F2937"/>
          <w:sz w:val="26"/>
          <w:szCs w:val="26"/>
        </w:rPr>
        <w:t xml:space="preserve">10.2 Microsoft Teams</w:t>
      </w:r>
    </w:p>
    <w:p>
      <w:pPr>
        <w:spacing w:after="160" w:line="288"/>
      </w:pPr>
      <w:r>
        <w:rPr>
          <w:sz w:val="21"/>
          <w:szCs w:val="21"/>
        </w:rPr>
        <w:t xml:space="preserve">Structurally identical to the Slack integration — an incoming webhook URL plus the same five notification toggles, a test-send that posts an Adaptive Card, and the same fire-and-forget invocation pattern from the relevant controllers.</w:t>
      </w:r>
    </w:p>
    <w:p>
      <w:pPr>
        <w:pStyle w:val="Heading2"/>
        <w:spacing w:after="160" w:before="360"/>
      </w:pPr>
      <w:r>
        <w:rPr>
          <w:b/>
          <w:bCs/>
          <w:color w:val="1F2937"/>
          <w:sz w:val="26"/>
          <w:szCs w:val="26"/>
        </w:rPr>
        <w:t xml:space="preserve">10.3 Stripe Billing</w:t>
      </w:r>
    </w:p>
    <w:p>
      <w:pPr>
        <w:spacing w:after="160" w:line="288"/>
      </w:pPr>
      <w:r>
        <w:rPr>
          <w:sz w:val="21"/>
          <w:szCs w:val="21"/>
        </w:rPr>
        <w:t xml:space="preserve">Every organization gets an auto-created FREE/active/5-seat Subscription record the first time billing is queried. SUPER_ADMIN can start a Stripe Checkout session (POST /api/billing/checkout) to upgrade to PRO or ENTERPRISE, or open the Stripe Billing Portal (POST /api/billing/portal) to manage payment methods and cancel. A webhook (POST /api/billing/webhook, public, using the raw request body for Stripe signature verification) keeps the local Subscription record in sync: checkout.session.completed upserts the plan, customer.subscription.updated syncs status/renewal date/cancellation flag, and customer.subscription.deleted resets the org back to the FREE plan with 5 seats.</w:t>
      </w:r>
    </w:p>
    <w:p>
      <w:r>
        <w:br w:type="page"/>
      </w:r>
    </w:p>
    <w:p>
      <w:pPr>
        <w:pStyle w:val="Heading1"/>
        <w:pBdr>
          <w:bottom w:val="single" w:color="2563EB" w:sz="12" w:space="4"/>
        </w:pBdr>
        <w:spacing w:after="240" w:before="480"/>
      </w:pPr>
      <w:r>
        <w:rPr>
          <w:b/>
          <w:bCs/>
          <w:color w:val="1F2937"/>
          <w:sz w:val="32"/>
          <w:szCs w:val="32"/>
        </w:rPr>
        <w:t xml:space="preserve">11. Customer Self-Service Portal</w:t>
      </w:r>
    </w:p>
    <w:p>
      <w:pPr>
        <w:spacing w:after="160" w:line="288"/>
      </w:pPr>
      <w:r>
        <w:rPr>
          <w:sz w:val="21"/>
          <w:szCs w:val="21"/>
        </w:rPr>
        <w:t xml:space="preserve">The portal is a deliberately lightweight, separate experience for an organization's external customers to submit and track their own IT tickets, entirely decoupled from the staff SPA and its authentication system.</w:t>
      </w:r>
    </w:p>
    <w:p>
      <w:pPr>
        <w:pStyle w:val="Heading2"/>
        <w:spacing w:after="160" w:before="360"/>
      </w:pPr>
      <w:r>
        <w:rPr>
          <w:b/>
          <w:bCs/>
          <w:color w:val="1F2937"/>
          <w:sz w:val="26"/>
          <w:szCs w:val="26"/>
        </w:rPr>
        <w:t xml:space="preserve">11.1 Portal Identity &amp; Access</w:t>
      </w:r>
    </w:p>
    <w:p>
      <w:pPr>
        <w:spacing w:after="160" w:line="288"/>
      </w:pPr>
      <w:r>
        <w:rPr>
          <w:sz w:val="21"/>
          <w:szCs w:val="21"/>
        </w:rPr>
        <w:t xml:space="preserve">Customers are represented by a separate PortalUser model, provisioned by internal staff (see 11.2), never by self-registration. Login is magic-link and passwordless: POST /api/portal/request-access looks up the account by (orgId, email) and always returns the same generic success message whether or not the account exists, preventing email enumeration; if it does exist, a 32-byte random token (stored only as a SHA-256 hash, 30-minute expiry) is emailed as a login link. GET /api/portal/verify validates and consumes that token and issues a 7-day portal JWT carrying iss:'portal', which the frontend stores in sessionStorage (not localStorage) — so a portal session does not persist across browser restarts the way a staff session does.</w:t>
      </w:r>
    </w:p>
    <w:p>
      <w:pPr>
        <w:pStyle w:val="Heading2"/>
        <w:spacing w:after="160" w:before="360"/>
      </w:pPr>
      <w:r>
        <w:rPr>
          <w:b/>
          <w:bCs/>
          <w:color w:val="1F2937"/>
          <w:sz w:val="26"/>
          <w:szCs w:val="26"/>
        </w:rPr>
        <w:t xml:space="preserve">11.2 Portal Administration (Internal Staff View)</w:t>
      </w:r>
    </w:p>
    <w:p>
      <w:pPr>
        <w:spacing w:after="160" w:line="288"/>
      </w:pPr>
      <w:r>
        <w:rPr>
          <w:sz w:val="21"/>
          <w:szCs w:val="21"/>
        </w:rPr>
        <w:t xml:space="preserve">SUPER_ADMIN/IT_MANAGER manage the roster of customer accounts from an internal /portal-users page: add a customer (with an optional immediate invite email), view stats (total, active, never-logged-in), and resend-invite, toggle-active, or remove any account. The generated portal link (/portal?org=&lt;orgId&gt;) is copyable for manual sharing.</w:t>
      </w:r>
    </w:p>
    <w:p>
      <w:pPr>
        <w:pStyle w:val="Heading2"/>
        <w:spacing w:after="160" w:before="360"/>
      </w:pPr>
      <w:r>
        <w:rPr>
          <w:b/>
          <w:bCs/>
          <w:color w:val="1F2937"/>
          <w:sz w:val="26"/>
          <w:szCs w:val="26"/>
        </w:rPr>
        <w:t xml:space="preserve">11.3 Customer-Facing Portal App</w:t>
      </w:r>
    </w:p>
    <w:p>
      <w:pPr>
        <w:spacing w:after="160" w:line="288"/>
      </w:pPr>
      <w:r>
        <w:rPr>
          <w:sz w:val="21"/>
          <w:szCs w:val="21"/>
        </w:rPr>
        <w:t xml:space="preserve">Once logged in, a customer sees only their own tickets (scoped by portalUserId and orgId) and can submit a new one with just a subject and description — no priority or category is exposed to the customer. Because the underlying Ticket.requesterId column requires a staff User, the portal controller automatically assigns any active IT staff member in the org as the nominal technical requester while still tagging the true owner via portalUserId (this will fail with a 500 if the organization currently has zero active IT staff). The portal frontend is a small, self-contained module using plain useState/useEffect and a dedicated Axios instance rather than the app's React Query/SSE infrastructure — deliberately simple in contrast to the main SPA.</w:t>
      </w:r>
    </w:p>
    <w:p>
      <w:r>
        <w:br w:type="page"/>
      </w:r>
    </w:p>
    <w:p>
      <w:pPr>
        <w:pStyle w:val="Heading1"/>
        <w:pBdr>
          <w:bottom w:val="single" w:color="2563EB" w:sz="12" w:space="4"/>
        </w:pBdr>
        <w:spacing w:after="240" w:before="480"/>
      </w:pPr>
      <w:r>
        <w:rPr>
          <w:b/>
          <w:bCs/>
          <w:color w:val="1F2937"/>
          <w:sz w:val="32"/>
          <w:szCs w:val="32"/>
        </w:rPr>
        <w:t xml:space="preserve">12. Frontend Architecture</w:t>
      </w:r>
    </w:p>
    <w:p>
      <w:pPr>
        <w:pStyle w:val="Heading2"/>
        <w:spacing w:after="160" w:before="360"/>
      </w:pPr>
      <w:r>
        <w:rPr>
          <w:b/>
          <w:bCs/>
          <w:color w:val="1F2937"/>
          <w:sz w:val="26"/>
          <w:szCs w:val="26"/>
        </w:rPr>
        <w:t xml:space="preserve">12.1 Application Shell &amp; Routing</w:t>
      </w:r>
    </w:p>
    <w:p>
      <w:pPr>
        <w:spacing w:after="160" w:line="288"/>
      </w:pPr>
      <w:r>
        <w:rPr>
          <w:sz w:val="21"/>
          <w:szCs w:val="21"/>
        </w:rPr>
        <w:t xml:space="preserve">main.tsx wraps the app in ThemeProvider → QueryClientProvider (React Query) → BrowserRouter → App. App.tsx defines the route tree: /portal and /portal/verify render the standalone Customer Portal outside any auth gate; /login and /accept-invite are pre-auth pages; everything else lives under a ProtectedRoute (redirects to /login when unauthenticated) wrapping AppLayout, which supplies the sidebar, top bar, and an &lt;Outlet/&gt; for roughly 30 nested routes covering every module in this document. Most pages are React.lazy()-loaded for code splitting. There is no route-level role gating anywhere in the tree — authorization is enforced by hiding sidebar links (and, on the Users page only, an explicit in-component check) rather than by blocking navigation, so the real authorization boundary for every page is the server-side API, not the router.</w:t>
      </w:r>
    </w:p>
    <w:p>
      <w:pPr>
        <w:pStyle w:val="Heading2"/>
        <w:spacing w:after="160" w:before="360"/>
      </w:pPr>
      <w:r>
        <w:rPr>
          <w:b/>
          <w:bCs/>
          <w:color w:val="1F2937"/>
          <w:sz w:val="26"/>
          <w:szCs w:val="26"/>
        </w:rPr>
        <w:t xml:space="preserve">12.2 Authentication State &amp; API Client</w:t>
      </w:r>
    </w:p>
    <w:p>
      <w:pPr>
        <w:spacing w:after="160" w:line="288"/>
      </w:pPr>
      <w:r>
        <w:rPr>
          <w:sz w:val="21"/>
          <w:szCs w:val="21"/>
        </w:rPr>
        <w:t xml:space="preserve">AuthContext is a plain React Context (no external state library) hydrated from localStorage on mount (accessToken, refreshToken, user — plain JSON, not httpOnly cookies). The shared Axios instance (api/client.ts) attaches the bearer token to every request via an interceptor, and on a 401 (outside the login/refresh endpoints themselves) attempts one silent token refresh and retries the original call before giving up and redirecting to /login. The same interceptor also pushes tailored toast notifications for network failures and 403/409/422/429/5xx responses, so most pages get consistent error feedback without any page-level error-handling code.</w:t>
      </w:r>
    </w:p>
    <w:p>
      <w:pPr>
        <w:pStyle w:val="Heading2"/>
        <w:spacing w:after="160" w:before="360"/>
      </w:pPr>
      <w:r>
        <w:rPr>
          <w:b/>
          <w:bCs/>
          <w:color w:val="1F2937"/>
          <w:sz w:val="26"/>
          <w:szCs w:val="26"/>
        </w:rPr>
        <w:t xml:space="preserve">12.3 Theming (UI Chrome vs. Org Branding)</w:t>
      </w:r>
    </w:p>
    <w:p>
      <w:pPr>
        <w:spacing w:after="160" w:line="288"/>
      </w:pPr>
      <w:r>
        <w:rPr>
          <w:sz w:val="21"/>
          <w:szCs w:val="21"/>
        </w:rPr>
        <w:t xml:space="preserve">Two independent theming systems coexist. ThemeContext controls the internal app's chrome — a per-browser (not per-org) choice of visual style (minimal/modern/classic/friendly) and font (Inter/Plus Jakarta Sans/DM Sans/Nunito), persisted to localStorage and applied through CSS custom properties, adjustable from a popover in the sidebar footer. Separately, BrandingPage (section 3.11) lets an org set colors/logo/text intended to style the customer-facing Portal.</w:t>
      </w:r>
    </w:p>
    <w:p>
      <w:pPr>
        <w:pBdr>
          <w:left w:val="single" w:color="D97706" w:sz="24" w:space="8"/>
        </w:pBdr>
        <w:shd w:fill="FEF3C7" w:val="clear"/>
        <w:spacing w:after="160" w:before="120"/>
        <w:ind w:left="100"/>
      </w:pPr>
      <w:r>
        <w:rPr>
          <w:b/>
          <w:bCs/>
          <w:color w:val="92400E"/>
          <w:sz w:val="20"/>
          <w:szCs w:val="20"/>
        </w:rPr>
        <w:t xml:space="preserve">Gap: </w:t>
      </w:r>
      <w:r>
        <w:rPr>
          <w:color w:val="78350F"/>
          <w:sz w:val="20"/>
          <w:szCs w:val="20"/>
        </w:rPr>
        <w:t xml:space="preserve">Many components carry Tailwind dark: variant classes, but nothing in the codebase ever toggles a dark class onto &lt;html&gt;/&lt;body&gt; — there is no working dark-mode switch despite the styling groundwork being present.</w:t>
      </w:r>
    </w:p>
    <w:p>
      <w:pPr>
        <w:pStyle w:val="Heading2"/>
        <w:spacing w:after="160" w:before="360"/>
      </w:pPr>
      <w:r>
        <w:rPr>
          <w:b/>
          <w:bCs/>
          <w:color w:val="1F2937"/>
          <w:sz w:val="26"/>
          <w:szCs w:val="26"/>
        </w:rPr>
        <w:t xml:space="preserve">12.4 Shared Components Worth Knowing</w:t>
      </w:r>
    </w:p>
    <w:p>
      <w:pPr>
        <w:pStyle w:val="ListParagraph"/>
        <w:numPr>
          <w:ilvl w:val="0"/>
          <w:numId w:val="2"/>
        </w:numPr>
        <w:spacing w:after="90" w:line="276"/>
      </w:pPr>
      <w:r>
        <w:rPr>
          <w:b/>
          <w:bCs/>
          <w:sz w:val="20"/>
          <w:szCs w:val="20"/>
        </w:rPr>
        <w:t xml:space="preserve">AppLayout</w:t>
      </w:r>
      <w:r>
        <w:rPr>
          <w:sz w:val="20"/>
          <w:szCs w:val="20"/>
        </w:rPr>
        <w:t xml:space="preserve"> — the sidebar/top-bar shell, including the AI Smart Search box, notification bell, and a global Ctrl/Cmd+K AI command bar.</w:t>
      </w:r>
    </w:p>
    <w:p>
      <w:pPr>
        <w:pStyle w:val="ListParagraph"/>
        <w:numPr>
          <w:ilvl w:val="0"/>
          <w:numId w:val="2"/>
        </w:numPr>
        <w:spacing w:after="90" w:line="276"/>
      </w:pPr>
      <w:r>
        <w:rPr>
          <w:b/>
          <w:bCs/>
          <w:sz w:val="20"/>
          <w:szCs w:val="20"/>
        </w:rPr>
        <w:t xml:space="preserve">Modal, Button, Badge, RowActions, SearchableSelect, PageHeader, EmptyState</w:t>
      </w:r>
      <w:r>
        <w:rPr>
          <w:sz w:val="20"/>
          <w:szCs w:val="20"/>
        </w:rPr>
        <w:t xml:space="preserve"> — the app's consistent design-system atoms, reused across essentially every page.</w:t>
      </w:r>
    </w:p>
    <w:p>
      <w:pPr>
        <w:pStyle w:val="ListParagraph"/>
        <w:numPr>
          <w:ilvl w:val="0"/>
          <w:numId w:val="2"/>
        </w:numPr>
        <w:spacing w:after="90" w:line="276"/>
      </w:pPr>
      <w:r>
        <w:rPr>
          <w:b/>
          <w:bCs/>
          <w:sz w:val="20"/>
          <w:szCs w:val="20"/>
        </w:rPr>
        <w:t xml:space="preserve">ToastContainer / toastStore</w:t>
      </w:r>
      <w:r>
        <w:rPr>
          <w:sz w:val="20"/>
          <w:szCs w:val="20"/>
        </w:rPr>
        <w:t xml:space="preserve"> — a hand-rolled pub/sub store (not a React context) so the Axios interceptor, which runs outside React, can still trigger toasts.</w:t>
      </w:r>
    </w:p>
    <w:p>
      <w:pPr>
        <w:pStyle w:val="ListParagraph"/>
        <w:numPr>
          <w:ilvl w:val="0"/>
          <w:numId w:val="2"/>
        </w:numPr>
        <w:spacing w:after="90" w:line="276"/>
      </w:pPr>
      <w:r>
        <w:rPr>
          <w:b/>
          <w:bCs/>
          <w:sz w:val="20"/>
          <w:szCs w:val="20"/>
        </w:rPr>
        <w:t xml:space="preserve">NotificationBell</w:t>
      </w:r>
      <w:r>
        <w:rPr>
          <w:sz w:val="20"/>
          <w:szCs w:val="20"/>
        </w:rPr>
        <w:t xml:space="preserve"> — hosts the app's single SSE connection (useSSE) and renders both the notification dropdown and a floating live-event toast stack.</w:t>
      </w:r>
    </w:p>
    <w:p>
      <w:pPr>
        <w:pStyle w:val="ListParagraph"/>
        <w:numPr>
          <w:ilvl w:val="0"/>
          <w:numId w:val="2"/>
        </w:numPr>
        <w:spacing w:after="90" w:line="276"/>
      </w:pPr>
      <w:r>
        <w:rPr>
          <w:b/>
          <w:bCs/>
          <w:sz w:val="20"/>
          <w:szCs w:val="20"/>
        </w:rPr>
        <w:t xml:space="preserve">Comments</w:t>
      </w:r>
      <w:r>
        <w:rPr>
          <w:sz w:val="20"/>
          <w:szCs w:val="20"/>
        </w:rPr>
        <w:t xml:space="preserve"> — the shared threaded-comments widget used on Deal/Ticket/Contact detail views.</w:t>
      </w:r>
    </w:p>
    <w:p>
      <w:pPr>
        <w:pStyle w:val="ListParagraph"/>
        <w:numPr>
          <w:ilvl w:val="0"/>
          <w:numId w:val="2"/>
        </w:numPr>
        <w:spacing w:after="90" w:line="276"/>
      </w:pPr>
      <w:r>
        <w:rPr>
          <w:b/>
          <w:bCs/>
          <w:sz w:val="20"/>
          <w:szCs w:val="20"/>
        </w:rPr>
        <w:t xml:space="preserve">AiCommandBar, AISmartSearch, AiInsightsWidget, MeetingNotesModal</w:t>
      </w:r>
      <w:r>
        <w:rPr>
          <w:sz w:val="20"/>
          <w:szCs w:val="20"/>
        </w:rPr>
        <w:t xml:space="preserve"> — the AI-flavoured interactive components described in section 8.</w:t>
      </w:r>
    </w:p>
    <w:p>
      <w:pPr>
        <w:pStyle w:val="Heading2"/>
        <w:spacing w:after="160" w:before="360"/>
      </w:pPr>
      <w:r>
        <w:rPr>
          <w:b/>
          <w:bCs/>
          <w:color w:val="1F2937"/>
          <w:sz w:val="26"/>
          <w:szCs w:val="26"/>
        </w:rPr>
        <w:t xml:space="preserve">12.5 Real-Time &amp; Polling</w:t>
      </w:r>
    </w:p>
    <w:p>
      <w:pPr>
        <w:spacing w:after="160" w:line="288"/>
      </w:pPr>
      <w:r>
        <w:rPr>
          <w:sz w:val="21"/>
          <w:szCs w:val="21"/>
        </w:rPr>
        <w:t xml:space="preserve">useSSE opens a single EventSource to /api/events/stream (token passed as a query parameter), reconnecting automatically 5 seconds after any error, and invalidates React Query caches on named events for tickets, leads, deals, inbox messages, and notifications. Where SSE isn't wired for a given surface, the frontend falls back to polling — Inbox conversations every 30 seconds, notifications every 60 seconds.</w:t>
      </w:r>
    </w:p>
    <w:p>
      <w:pPr>
        <w:pStyle w:val="Heading2"/>
        <w:spacing w:after="160" w:before="360"/>
      </w:pPr>
      <w:r>
        <w:rPr>
          <w:b/>
          <w:bCs/>
          <w:color w:val="1F2937"/>
          <w:sz w:val="26"/>
          <w:szCs w:val="26"/>
        </w:rPr>
        <w:t xml:space="preserve">12.6 Notable UX Patterns</w:t>
      </w:r>
    </w:p>
    <w:p>
      <w:pPr>
        <w:pStyle w:val="ListParagraph"/>
        <w:numPr>
          <w:ilvl w:val="0"/>
          <w:numId w:val="2"/>
        </w:numPr>
        <w:spacing w:after="90" w:line="276"/>
      </w:pPr>
      <w:r>
        <w:rPr>
          <w:sz w:val="20"/>
          <w:szCs w:val="20"/>
        </w:rPr>
        <w:t xml:space="preserve">Native HTML5 drag-and-drop on the Deals Kanban board (no external DnD library used at runtime for that specific view, despite @dnd-kit being a dependency).</w:t>
      </w:r>
    </w:p>
    <w:p>
      <w:pPr>
        <w:pStyle w:val="ListParagraph"/>
        <w:numPr>
          <w:ilvl w:val="0"/>
          <w:numId w:val="2"/>
        </w:numPr>
        <w:spacing w:after="90" w:line="276"/>
      </w:pPr>
      <w:r>
        <w:rPr>
          <w:sz w:val="20"/>
          <w:szCs w:val="20"/>
        </w:rPr>
        <w:t xml:space="preserve">One-time-reveal secrets pattern for API keys and 2FA backup codes — shown once in a banner, never retrievable again afterward.</w:t>
      </w:r>
    </w:p>
    <w:p>
      <w:pPr>
        <w:pStyle w:val="ListParagraph"/>
        <w:numPr>
          <w:ilvl w:val="0"/>
          <w:numId w:val="2"/>
        </w:numPr>
        <w:spacing w:after="90" w:line="276"/>
      </w:pPr>
      <w:r>
        <w:rPr>
          <w:sz w:val="20"/>
          <w:szCs w:val="20"/>
        </w:rPr>
        <w:t xml:space="preserve">Client-side CSV export (blob + anchor download) on every Analytics chart.</w:t>
      </w:r>
    </w:p>
    <w:p>
      <w:pPr>
        <w:pStyle w:val="ListParagraph"/>
        <w:numPr>
          <w:ilvl w:val="0"/>
          <w:numId w:val="2"/>
        </w:numPr>
        <w:spacing w:after="90" w:line="276"/>
      </w:pPr>
      <w:r>
        <w:rPr>
          <w:sz w:val="20"/>
          <w:szCs w:val="20"/>
        </w:rPr>
        <w:t xml:space="preserve">A sandboxed client-side JavaScript execution engine (utils/scriptEngine.ts) purpose-built to run tenant-authored Custom Scripts (section 8.6) safely inside the browser.</w:t>
      </w:r>
    </w:p>
    <w:p>
      <w:r>
        <w:br w:type="page"/>
      </w:r>
    </w:p>
    <w:p>
      <w:pPr>
        <w:pStyle w:val="Heading1"/>
        <w:pBdr>
          <w:bottom w:val="single" w:color="2563EB" w:sz="12" w:space="4"/>
        </w:pBdr>
        <w:spacing w:after="240" w:before="480"/>
      </w:pPr>
      <w:r>
        <w:rPr>
          <w:b/>
          <w:bCs/>
          <w:color w:val="1F2937"/>
          <w:sz w:val="32"/>
          <w:szCs w:val="32"/>
        </w:rPr>
        <w:t xml:space="preserve">13. API Endpoint Reference</w:t>
      </w:r>
    </w:p>
    <w:p>
      <w:pPr>
        <w:spacing w:after="160" w:line="288"/>
      </w:pPr>
      <w:r>
        <w:rPr>
          <w:sz w:val="21"/>
          <w:szCs w:val="21"/>
        </w:rPr>
        <w:t xml:space="preserve">All routes are mounted under /api. Unless marked public, every route requires a valid staff JWT (Authorization: Bearer &lt;token&gt;); portal routes require a separate portal JWT instead. Role column abbreviations: ALL = any authenticated user (staff or, where noted, unauthenticated); STAFF = all roles except EMPLOYEE; MGR = SUPER_ADMIN/IT_MANAGER/CRM_MANAGER; IT-MGR = SUPER_ADMIN/IT_MANAGER; CRM-MGR = SUPER_ADMIN/CRM_MANAGER; IT = SUPER_ADMIN/IT_MANAGER/IT_AGENT; CRM = SUPER_ADMIN/CRM_MANAGER/SALES_REP; ADMIN = SUPER_ADMIN only.</w:t>
      </w:r>
    </w:p>
    <w:p>
      <w:pPr>
        <w:pStyle w:val="Heading2"/>
        <w:spacing w:after="160" w:before="360"/>
      </w:pPr>
      <w:r>
        <w:rPr>
          <w:b/>
          <w:bCs/>
          <w:color w:val="1F2937"/>
          <w:sz w:val="26"/>
          <w:szCs w:val="26"/>
        </w:rPr>
        <w:t xml:space="preserve">13.1 Auth &amp; Session — /api/auth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Method &amp; Path</w:t>
            </w:r>
          </w:p>
        </w:tc>
        <w:tc>
          <w:tcPr>
            <w:tcW w:type="dxa" w:w="12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4200"/>
            <w:shd w:fill="E5E7EB" w:val="clear"/>
            <w:tcMar>
              <w:top w:type="dxa" w:w="60"/>
              <w:left w:type="dxa" w:w="100"/>
              <w:bottom w:type="dxa" w:w="60"/>
              <w:right w:type="dxa" w:w="100"/>
            </w:tcMar>
            <w:vAlign w:val="center"/>
          </w:tcPr>
          <w:p>
            <w:pPr>
              <w:jc w:val="left"/>
            </w:pPr>
            <w:r>
              <w:rPr>
                <w:b/>
                <w:bCs/>
                <w:color w:val="111827"/>
                <w:sz w:val="18"/>
                <w:szCs w:val="18"/>
              </w:rPr>
              <w:t xml:space="preserve">Description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/register</w:t>
            </w:r>
          </w:p>
        </w:tc>
        <w:tc>
          <w:tcPr>
            <w:tcW w:type="dxa" w:w="1200"/>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tcMar>
              <w:top w:type="dxa" w:w="60"/>
              <w:left w:type="dxa" w:w="100"/>
              <w:bottom w:type="dxa" w:w="60"/>
              <w:right w:type="dxa" w:w="100"/>
            </w:tcMar>
            <w:vAlign w:val="center"/>
          </w:tcPr>
          <w:p>
            <w:pPr>
              <w:jc w:val="left"/>
            </w:pPr>
            <w:r>
              <w:rPr>
                <w:b w:val="false"/>
                <w:bCs w:val="false"/>
                <w:sz w:val="18"/>
                <w:szCs w:val="18"/>
              </w:rPr>
              <w:t xml:space="preserve">Create a new organization + first SUPER_ADMIN user</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/login</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Authenticate, issue access + refresh tokens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/refresh</w:t>
            </w:r>
          </w:p>
        </w:tc>
        <w:tc>
          <w:tcPr>
            <w:tcW w:type="dxa" w:w="1200"/>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tcMar>
              <w:top w:type="dxa" w:w="60"/>
              <w:left w:type="dxa" w:w="100"/>
              <w:bottom w:type="dxa" w:w="60"/>
              <w:right w:type="dxa" w:w="100"/>
            </w:tcMar>
            <w:vAlign w:val="center"/>
          </w:tcPr>
          <w:p>
            <w:pPr>
              <w:jc w:val="left"/>
            </w:pPr>
            <w:r>
              <w:rPr>
                <w:b w:val="false"/>
                <w:bCs w:val="false"/>
                <w:sz w:val="18"/>
                <w:szCs w:val="18"/>
              </w:rPr>
              <w:t xml:space="preserve">Rotate refresh token, issue new access token</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/logout</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Revoke the current refresh token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/invite-info</w:t>
            </w:r>
          </w:p>
        </w:tc>
        <w:tc>
          <w:tcPr>
            <w:tcW w:type="dxa" w:w="1200"/>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tcMar>
              <w:top w:type="dxa" w:w="60"/>
              <w:left w:type="dxa" w:w="100"/>
              <w:bottom w:type="dxa" w:w="60"/>
              <w:right w:type="dxa" w:w="100"/>
            </w:tcMar>
            <w:vAlign w:val="center"/>
          </w:tcPr>
          <w:p>
            <w:pPr>
              <w:jc w:val="left"/>
            </w:pPr>
            <w:r>
              <w:rPr>
                <w:b w:val="false"/>
                <w:bCs w:val="false"/>
                <w:sz w:val="18"/>
                <w:szCs w:val="18"/>
              </w:rPr>
              <w:t xml:space="preserve">Look up invite token details before acceptance</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/accept-invite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Consume an invite token, create the invited user</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/me</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tcMar>
              <w:top w:type="dxa" w:w="60"/>
              <w:left w:type="dxa" w:w="100"/>
              <w:bottom w:type="dxa" w:w="60"/>
              <w:right w:type="dxa" w:w="100"/>
            </w:tcMar>
            <w:vAlign w:val="center"/>
          </w:tcPr>
          <w:p>
            <w:pPr>
              <w:jc w:val="left"/>
            </w:pPr>
            <w:r>
              <w:rPr>
                <w:b w:val="false"/>
                <w:bCs w:val="false"/>
                <w:sz w:val="18"/>
                <w:szCs w:val="18"/>
              </w:rPr>
              <w:t xml:space="preserve">Current user profile</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PUT /me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Update own profile</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PUT /me/password</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tcMar>
              <w:top w:type="dxa" w:w="60"/>
              <w:left w:type="dxa" w:w="100"/>
              <w:bottom w:type="dxa" w:w="60"/>
              <w:right w:type="dxa" w:w="100"/>
            </w:tcMar>
            <w:vAlign w:val="center"/>
          </w:tcPr>
          <w:p>
            <w:pPr>
              <w:jc w:val="left"/>
            </w:pPr>
            <w:r>
              <w:rPr>
                <w:b w:val="false"/>
                <w:bCs w:val="false"/>
                <w:sz w:val="18"/>
                <w:szCs w:val="18"/>
              </w:rPr>
              <w:t xml:space="preserve">Change password; revokes all other sessions</w:t>
            </w:r>
          </w:p>
        </w:tc>
      </w:tr>
    </w:tbl>
    <w:p>
      <w:pPr>
        <w:pStyle w:val="Heading2"/>
        <w:spacing w:after="160" w:before="360"/>
      </w:pPr>
      <w:r>
        <w:rPr>
          <w:b/>
          <w:bCs/>
          <w:color w:val="1F2937"/>
          <w:sz w:val="26"/>
          <w:szCs w:val="26"/>
        </w:rPr>
        <w:t xml:space="preserve">13.2 Users &amp; Org — /api/users, /api/admin/users, /api/org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Method &amp; Path</w:t>
            </w:r>
          </w:p>
        </w:tc>
        <w:tc>
          <w:tcPr>
            <w:tcW w:type="dxa" w:w="12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4200"/>
            <w:shd w:fill="E5E7EB" w:val="clear"/>
            <w:tcMar>
              <w:top w:type="dxa" w:w="60"/>
              <w:left w:type="dxa" w:w="100"/>
              <w:bottom w:type="dxa" w:w="60"/>
              <w:right w:type="dxa" w:w="100"/>
            </w:tcMar>
            <w:vAlign w:val="center"/>
          </w:tcPr>
          <w:p>
            <w:pPr>
              <w:jc w:val="left"/>
            </w:pPr>
            <w:r>
              <w:rPr>
                <w:b/>
                <w:bCs/>
                <w:color w:val="111827"/>
                <w:sz w:val="18"/>
                <w:szCs w:val="18"/>
              </w:rPr>
              <w:t xml:space="preserve">Description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/users</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tcMar>
              <w:top w:type="dxa" w:w="60"/>
              <w:left w:type="dxa" w:w="100"/>
              <w:bottom w:type="dxa" w:w="60"/>
              <w:right w:type="dxa" w:w="100"/>
            </w:tcMar>
            <w:vAlign w:val="center"/>
          </w:tcPr>
          <w:p>
            <w:pPr>
              <w:jc w:val="left"/>
            </w:pPr>
            <w:r>
              <w:rPr>
                <w:b w:val="false"/>
                <w:bCs w:val="false"/>
                <w:sz w:val="18"/>
                <w:szCs w:val="18"/>
              </w:rPr>
              <w:t xml:space="preserve">Directory of active org users (assignee pickers)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/admin/users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Paginated/searchable user admin list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/admin/users</w:t>
            </w:r>
          </w:p>
        </w:tc>
        <w:tc>
          <w:tcPr>
            <w:tcW w:type="dxa" w:w="1200"/>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Create a user directly with a password</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/admin/users/invite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Generate + email an invite link</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PATCH /admin/users/:id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Edit role/department/active status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DELETE /admin/users/:id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Deactivate a user (soft delete)</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/org</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tcMar>
              <w:top w:type="dxa" w:w="60"/>
              <w:left w:type="dxa" w:w="100"/>
              <w:bottom w:type="dxa" w:w="60"/>
              <w:right w:type="dxa" w:w="100"/>
            </w:tcMar>
            <w:vAlign w:val="center"/>
          </w:tcPr>
          <w:p>
            <w:pPr>
              <w:jc w:val="left"/>
            </w:pPr>
            <w:r>
              <w:rPr>
                <w:b w:val="false"/>
                <w:bCs w:val="false"/>
                <w:sz w:val="18"/>
                <w:szCs w:val="18"/>
              </w:rPr>
              <w:t xml:space="preserve">Org details + record counts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PATCH /org</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ADMIN</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Rename organization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/org/invites</w:t>
            </w:r>
          </w:p>
        </w:tc>
        <w:tc>
          <w:tcPr>
            <w:tcW w:type="dxa" w:w="1200"/>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 pending invite tokens</w:t>
            </w:r>
          </w:p>
        </w:tc>
      </w:tr>
    </w:tbl>
    <w:p>
      <w:pPr>
        <w:pStyle w:val="Heading2"/>
        <w:spacing w:after="160" w:before="360"/>
      </w:pPr>
      <w:r>
        <w:rPr>
          <w:b/>
          <w:bCs/>
          <w:color w:val="1F2937"/>
          <w:sz w:val="26"/>
          <w:szCs w:val="26"/>
        </w:rPr>
        <w:t xml:space="preserve">13.3 CRM — /api/crm/*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Method &amp; Path</w:t>
            </w:r>
          </w:p>
        </w:tc>
        <w:tc>
          <w:tcPr>
            <w:tcW w:type="dxa" w:w="12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4200"/>
            <w:shd w:fill="E5E7EB" w:val="clear"/>
            <w:tcMar>
              <w:top w:type="dxa" w:w="60"/>
              <w:left w:type="dxa" w:w="100"/>
              <w:bottom w:type="dxa" w:w="60"/>
              <w:right w:type="dxa" w:w="100"/>
            </w:tcMar>
            <w:vAlign w:val="center"/>
          </w:tcPr>
          <w:p>
            <w:pPr>
              <w:jc w:val="left"/>
            </w:pPr>
            <w:r>
              <w:rPr>
                <w:b/>
                <w:bCs/>
                <w:color w:val="111827"/>
                <w:sz w:val="18"/>
                <w:szCs w:val="18"/>
              </w:rPr>
              <w:t xml:space="preserve">Description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GET/POST /crm/accounts</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List/create accounts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GET/PATCH /crm/accounts/:id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Account detail / edit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DELETE /crm/accounts/:id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Delete account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 /crm/contacts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List/create contacts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GET/PATCH /crm/contacts/:id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tcMar>
              <w:top w:type="dxa" w:w="60"/>
              <w:left w:type="dxa" w:w="100"/>
              <w:bottom w:type="dxa" w:w="60"/>
              <w:right w:type="dxa" w:w="100"/>
            </w:tcMar>
            <w:vAlign w:val="center"/>
          </w:tcPr>
          <w:p>
            <w:pPr>
              <w:jc w:val="left"/>
            </w:pPr>
            <w:r>
              <w:rPr>
                <w:b w:val="false"/>
                <w:bCs w:val="false"/>
                <w:sz w:val="18"/>
                <w:szCs w:val="18"/>
              </w:rPr>
              <w:t xml:space="preserve">Contact detail / edit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DELETE /crm/contacts/:id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Delete contact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GET/POST /crm/leads</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List/create leads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GET/PATCH /crm/leads/:id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Lead detail / edit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PATCH /crm/leads/:id/convert</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tcMar>
              <w:top w:type="dxa" w:w="60"/>
              <w:left w:type="dxa" w:w="100"/>
              <w:bottom w:type="dxa" w:w="60"/>
              <w:right w:type="dxa" w:w="100"/>
            </w:tcMar>
            <w:vAlign w:val="center"/>
          </w:tcPr>
          <w:p>
            <w:pPr>
              <w:jc w:val="left"/>
            </w:pPr>
            <w:r>
              <w:rPr>
                <w:b w:val="false"/>
                <w:bCs w:val="false"/>
                <w:sz w:val="18"/>
                <w:szCs w:val="18"/>
              </w:rPr>
              <w:t xml:space="preserve">Convert lead into a deal</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DELETE /crm/leads/:id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Delete lead</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/crm/deals</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 deals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/crm/deals/pipeline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Kanban board grouped by stage</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/crm/deals/reports</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Funnel/forecast reporting</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/crm/deals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Create deal</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GET/PATCH /crm/deals/:id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tcMar>
              <w:top w:type="dxa" w:w="60"/>
              <w:left w:type="dxa" w:w="100"/>
              <w:bottom w:type="dxa" w:w="60"/>
              <w:right w:type="dxa" w:w="100"/>
            </w:tcMar>
            <w:vAlign w:val="center"/>
          </w:tcPr>
          <w:p>
            <w:pPr>
              <w:jc w:val="left"/>
            </w:pPr>
            <w:r>
              <w:rPr>
                <w:b w:val="false"/>
                <w:bCs w:val="false"/>
                <w:sz w:val="18"/>
                <w:szCs w:val="18"/>
              </w:rPr>
              <w:t xml:space="preserve">Deal detail / edit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PATCH /crm/deals/:id/stage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Move Kanban stage</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DELETE /crm/deals/:id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Delete deal</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 /crm/activities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List/create activities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PATCH /crm/activities/:id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tcMar>
              <w:top w:type="dxa" w:w="60"/>
              <w:left w:type="dxa" w:w="100"/>
              <w:bottom w:type="dxa" w:w="60"/>
              <w:right w:type="dxa" w:w="100"/>
            </w:tcMar>
            <w:vAlign w:val="center"/>
          </w:tcPr>
          <w:p>
            <w:pPr>
              <w:jc w:val="left"/>
            </w:pPr>
            <w:r>
              <w:rPr>
                <w:b w:val="false"/>
                <w:bCs w:val="false"/>
                <w:sz w:val="18"/>
                <w:szCs w:val="18"/>
              </w:rPr>
              <w:t xml:space="preserve">Edit activity</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DELETE /crm/activities/:id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Delete activity</w:t>
            </w:r>
          </w:p>
        </w:tc>
      </w:tr>
    </w:tbl>
    <w:p>
      <w:pPr>
        <w:pStyle w:val="Heading2"/>
        <w:spacing w:after="160" w:before="360"/>
      </w:pPr>
      <w:r>
        <w:rPr>
          <w:b/>
          <w:bCs/>
          <w:color w:val="1F2937"/>
          <w:sz w:val="26"/>
          <w:szCs w:val="26"/>
        </w:rPr>
        <w:t xml:space="preserve">13.4 IT Desk — /api/itdesk/*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Method &amp; Path</w:t>
            </w:r>
          </w:p>
        </w:tc>
        <w:tc>
          <w:tcPr>
            <w:tcW w:type="dxa" w:w="12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4200"/>
            <w:shd w:fill="E5E7EB" w:val="clear"/>
            <w:tcMar>
              <w:top w:type="dxa" w:w="60"/>
              <w:left w:type="dxa" w:w="100"/>
              <w:bottom w:type="dxa" w:w="60"/>
              <w:right w:type="dxa" w:w="100"/>
            </w:tcMar>
            <w:vAlign w:val="center"/>
          </w:tcPr>
          <w:p>
            <w:pPr>
              <w:jc w:val="left"/>
            </w:pPr>
            <w:r>
              <w:rPr>
                <w:b/>
                <w:bCs/>
                <w:color w:val="111827"/>
                <w:sz w:val="18"/>
                <w:szCs w:val="18"/>
              </w:rPr>
              <w:t xml:space="preserve">Description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/itdesk/tickets</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 tickets (EMPLOYEE auto-scoped to own)</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/itdesk/tickets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File a new ticket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/itdesk/tickets/reports</w:t>
            </w:r>
          </w:p>
        </w:tc>
        <w:tc>
          <w:tcPr>
            <w:tcW w:type="dxa" w:w="1200"/>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Ticket reporting</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/itdesk/tickets/:id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Ticket detail + history</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PATCH /itdesk/tickets/:id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tcMar>
              <w:top w:type="dxa" w:w="60"/>
              <w:left w:type="dxa" w:w="100"/>
              <w:bottom w:type="dxa" w:w="60"/>
              <w:right w:type="dxa" w:w="100"/>
            </w:tcMar>
            <w:vAlign w:val="center"/>
          </w:tcPr>
          <w:p>
            <w:pPr>
              <w:jc w:val="left"/>
            </w:pPr>
            <w:r>
              <w:rPr>
                <w:b w:val="false"/>
                <w:bCs w:val="false"/>
                <w:sz w:val="18"/>
                <w:szCs w:val="18"/>
              </w:rPr>
              <w:t xml:space="preserve">Edit ticket content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PATCH /itdesk/tickets/:id/status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Change status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PATCH /itdesk/tickets/:id/assign</w:t>
            </w:r>
          </w:p>
        </w:tc>
        <w:tc>
          <w:tcPr>
            <w:tcW w:type="dxa" w:w="1200"/>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Reassign ticket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DELETE /itdesk/tickets/:id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Delete ticket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/itdesk/categories</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 categories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POST/PATCH/DELETE /itdesk/categories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Manage categories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/itdesk/sla-policies</w:t>
            </w:r>
          </w:p>
        </w:tc>
        <w:tc>
          <w:tcPr>
            <w:tcW w:type="dxa" w:w="1200"/>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 SLA policies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POST/PATCH/DELETE /itdesk/sla-policies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Manage SLA policies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/itdesk/articles</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 KB articles (published-only for non-staff)</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POST/PATCH/DELETE /itdesk/articles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Manage KB articles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/itdesk/assets</w:t>
            </w:r>
          </w:p>
        </w:tc>
        <w:tc>
          <w:tcPr>
            <w:tcW w:type="dxa" w:w="1200"/>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 assets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/itdesk/assets/stats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Asset stat tiles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/itdesk/assets/:id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tcMar>
              <w:top w:type="dxa" w:w="60"/>
              <w:left w:type="dxa" w:w="100"/>
              <w:bottom w:type="dxa" w:w="60"/>
              <w:right w:type="dxa" w:w="100"/>
            </w:tcMar>
            <w:vAlign w:val="center"/>
          </w:tcPr>
          <w:p>
            <w:pPr>
              <w:jc w:val="left"/>
            </w:pPr>
            <w:r>
              <w:rPr>
                <w:b w:val="false"/>
                <w:bCs w:val="false"/>
                <w:sz w:val="18"/>
                <w:szCs w:val="18"/>
              </w:rPr>
              <w:t xml:space="preserve">Asset detail incl. linked tickets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POST/PATCH/DELETE /itdesk/assets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Manage assets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GET/POST /itdesk/time-tracking/:ticketId</w:t>
            </w:r>
          </w:p>
        </w:tc>
        <w:tc>
          <w:tcPr>
            <w:tcW w:type="dxa" w:w="1200"/>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List/log time entries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DELETE /itdesk/time-tracking/:ticketId/:entryId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Delete time entry</w:t>
            </w:r>
          </w:p>
        </w:tc>
      </w:tr>
    </w:tbl>
    <w:p>
      <w:pPr>
        <w:pStyle w:val="Heading2"/>
        <w:spacing w:after="160" w:before="360"/>
      </w:pPr>
      <w:r>
        <w:rPr>
          <w:b/>
          <w:bCs/>
          <w:color w:val="1F2937"/>
          <w:sz w:val="26"/>
          <w:szCs w:val="26"/>
        </w:rPr>
        <w:t xml:space="preserve">13.5 Inbox, Workflows, Events — /api/inbox, /api/workflows, /api/events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Method &amp; Path</w:t>
            </w:r>
          </w:p>
        </w:tc>
        <w:tc>
          <w:tcPr>
            <w:tcW w:type="dxa" w:w="12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4200"/>
            <w:shd w:fill="E5E7EB" w:val="clear"/>
            <w:tcMar>
              <w:top w:type="dxa" w:w="60"/>
              <w:left w:type="dxa" w:w="100"/>
              <w:bottom w:type="dxa" w:w="60"/>
              <w:right w:type="dxa" w:w="100"/>
            </w:tcMar>
            <w:vAlign w:val="center"/>
          </w:tcPr>
          <w:p>
            <w:pPr>
              <w:jc w:val="left"/>
            </w:pPr>
            <w:r>
              <w:rPr>
                <w:b/>
                <w:bCs/>
                <w:color w:val="111827"/>
                <w:sz w:val="18"/>
                <w:szCs w:val="18"/>
              </w:rPr>
              <w:t xml:space="preserve">Description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/inbox/whatsapp/webhook</w:t>
            </w:r>
          </w:p>
        </w:tc>
        <w:tc>
          <w:tcPr>
            <w:tcW w:type="dxa" w:w="1200"/>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tcMar>
              <w:top w:type="dxa" w:w="60"/>
              <w:left w:type="dxa" w:w="100"/>
              <w:bottom w:type="dxa" w:w="60"/>
              <w:right w:type="dxa" w:w="100"/>
            </w:tcMar>
            <w:vAlign w:val="center"/>
          </w:tcPr>
          <w:p>
            <w:pPr>
              <w:jc w:val="left"/>
            </w:pPr>
            <w:r>
              <w:rPr>
                <w:b w:val="false"/>
                <w:bCs w:val="false"/>
                <w:sz w:val="18"/>
                <w:szCs w:val="18"/>
              </w:rPr>
              <w:t xml:space="preserve">Twilio inbound WhatsApp webhook</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/inbox/conversations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List conversations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GET/PATCH /inbox/conversations/:id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tcMar>
              <w:top w:type="dxa" w:w="60"/>
              <w:left w:type="dxa" w:w="100"/>
              <w:bottom w:type="dxa" w:w="60"/>
              <w:right w:type="dxa" w:w="100"/>
            </w:tcMar>
            <w:vAlign w:val="center"/>
          </w:tcPr>
          <w:p>
            <w:pPr>
              <w:jc w:val="left"/>
            </w:pPr>
            <w:r>
              <w:rPr>
                <w:b w:val="false"/>
                <w:bCs w:val="false"/>
                <w:sz w:val="18"/>
                <w:szCs w:val="18"/>
              </w:rPr>
              <w:t xml:space="preserve">Conversation detail / update</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/inbox/conversations/:id/reply</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Send a reply (email or WhatsApp)</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/inbox/settings</w:t>
            </w:r>
          </w:p>
        </w:tc>
        <w:tc>
          <w:tcPr>
            <w:tcW w:type="dxa" w:w="1200"/>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View connected channel config</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POST/DELETE /inbox/settings/email</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Connect/disconnect mailbox</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POST/DELETE /inbox/settings/whatsapp</w:t>
            </w:r>
          </w:p>
        </w:tc>
        <w:tc>
          <w:tcPr>
            <w:tcW w:type="dxa" w:w="1200"/>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Connect/disconnect WhatsApp</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/inbox/sync</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Manual mailbox re-sync</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GET/POST /workflows</w:t>
            </w:r>
          </w:p>
        </w:tc>
        <w:tc>
          <w:tcPr>
            <w:tcW w:type="dxa" w:w="1200"/>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List/create automation rules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PUT/DELETE /workflows/:id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Edit/delete a rule</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/workflows/:id/logs</w:t>
            </w:r>
          </w:p>
        </w:tc>
        <w:tc>
          <w:tcPr>
            <w:tcW w:type="dxa" w:w="1200"/>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Rule execution history</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PATCH /workflows/:id/toggle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Enable/disable a rule</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/events/stream</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tcMar>
              <w:top w:type="dxa" w:w="60"/>
              <w:left w:type="dxa" w:w="100"/>
              <w:bottom w:type="dxa" w:w="60"/>
              <w:right w:type="dxa" w:w="100"/>
            </w:tcMar>
            <w:vAlign w:val="center"/>
          </w:tcPr>
          <w:p>
            <w:pPr>
              <w:jc w:val="left"/>
            </w:pPr>
            <w:r>
              <w:rPr>
                <w:b w:val="false"/>
                <w:bCs w:val="false"/>
                <w:sz w:val="18"/>
                <w:szCs w:val="18"/>
              </w:rPr>
              <w:t xml:space="preserve">SSE live-update stream</w:t>
            </w:r>
          </w:p>
        </w:tc>
      </w:tr>
    </w:tbl>
    <w:p>
      <w:pPr>
        <w:pStyle w:val="Heading2"/>
        <w:spacing w:after="160" w:before="360"/>
      </w:pPr>
      <w:r>
        <w:rPr>
          <w:b/>
          <w:bCs/>
          <w:color w:val="1F2937"/>
          <w:sz w:val="26"/>
          <w:szCs w:val="26"/>
        </w:rPr>
        <w:t xml:space="preserve">13.6 AI — /api/ai/*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Method &amp; Path</w:t>
            </w:r>
          </w:p>
        </w:tc>
        <w:tc>
          <w:tcPr>
            <w:tcW w:type="dxa" w:w="12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4200"/>
            <w:shd w:fill="E5E7EB" w:val="clear"/>
            <w:tcMar>
              <w:top w:type="dxa" w:w="60"/>
              <w:left w:type="dxa" w:w="100"/>
              <w:bottom w:type="dxa" w:w="60"/>
              <w:right w:type="dxa" w:w="100"/>
            </w:tcMar>
            <w:vAlign w:val="center"/>
          </w:tcPr>
          <w:p>
            <w:pPr>
              <w:jc w:val="left"/>
            </w:pPr>
            <w:r>
              <w:rPr>
                <w:b/>
                <w:bCs/>
                <w:color w:val="111827"/>
                <w:sz w:val="18"/>
                <w:szCs w:val="18"/>
              </w:rPr>
              <w:t xml:space="preserve">Description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/ai/lead/:id/score, /follow-up, /nurture-sequence</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tcMar>
              <w:top w:type="dxa" w:w="60"/>
              <w:left w:type="dxa" w:w="100"/>
              <w:bottom w:type="dxa" w:w="60"/>
              <w:right w:type="dxa" w:w="100"/>
            </w:tcMar>
            <w:vAlign w:val="center"/>
          </w:tcPr>
          <w:p>
            <w:pPr>
              <w:jc w:val="left"/>
            </w:pPr>
            <w:r>
              <w:rPr>
                <w:b w:val="false"/>
                <w:bCs w:val="false"/>
                <w:sz w:val="18"/>
                <w:szCs w:val="18"/>
              </w:rPr>
              <w:t xml:space="preserve">Lead AI actions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/ai/deal/:id/follow-up, /win-probability, /close-date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Deal AI actions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/ai/pipeline/health</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Pipeline health report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/ai/contact/:id/churn-risk, /health</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Contact AI scoring</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/ai/detect-competitors</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tcMar>
              <w:top w:type="dxa" w:w="60"/>
              <w:left w:type="dxa" w:w="100"/>
              <w:bottom w:type="dxa" w:w="60"/>
              <w:right w:type="dxa" w:w="100"/>
            </w:tcMar>
            <w:vAlign w:val="center"/>
          </w:tcPr>
          <w:p>
            <w:pPr>
              <w:jc w:val="left"/>
            </w:pPr>
            <w:r>
              <w:rPr>
                <w:b w:val="false"/>
                <w:bCs w:val="false"/>
                <w:sz w:val="18"/>
                <w:szCs w:val="18"/>
              </w:rPr>
              <w:t xml:space="preserve">Scan free text for competitors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/ai/leads/bulk-score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Score up to 50 leads at once</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/ai/ticket/:id/sentiment, /reply, /auto-route, /kb-article, /summarize, /estimate, /sla-risk, /auto-tag</w:t>
            </w:r>
          </w:p>
        </w:tc>
        <w:tc>
          <w:tcPr>
            <w:tcW w:type="dxa" w:w="1200"/>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tcMar>
              <w:top w:type="dxa" w:w="60"/>
              <w:left w:type="dxa" w:w="100"/>
              <w:bottom w:type="dxa" w:w="60"/>
              <w:right w:type="dxa" w:w="100"/>
            </w:tcMar>
            <w:vAlign w:val="center"/>
          </w:tcPr>
          <w:p>
            <w:pPr>
              <w:jc w:val="left"/>
            </w:pPr>
            <w:r>
              <w:rPr>
                <w:b w:val="false"/>
                <w:bCs w:val="false"/>
                <w:sz w:val="18"/>
                <w:szCs w:val="18"/>
              </w:rPr>
              <w:t xml:space="preserve">Ticket AI actions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/ai/ticket/check-duplicate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Pre-submission duplicate check</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/ai/query</w:t>
            </w:r>
          </w:p>
        </w:tc>
        <w:tc>
          <w:tcPr>
            <w:tcW w:type="dxa" w:w="1200"/>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Natural-language dashboard Q&amp;A</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/ai/insights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Proactive insight feed</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/ai/meeting-notes, /tone-check, /command</w:t>
            </w:r>
          </w:p>
        </w:tc>
        <w:tc>
          <w:tcPr>
            <w:tcW w:type="dxa" w:w="1200"/>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tcMar>
              <w:top w:type="dxa" w:w="60"/>
              <w:left w:type="dxa" w:w="100"/>
              <w:bottom w:type="dxa" w:w="60"/>
              <w:right w:type="dxa" w:w="100"/>
            </w:tcMar>
            <w:vAlign w:val="center"/>
          </w:tcPr>
          <w:p>
            <w:pPr>
              <w:jc w:val="left"/>
            </w:pPr>
            <w:r>
              <w:rPr>
                <w:b w:val="false"/>
                <w:bCs w:val="false"/>
                <w:sz w:val="18"/>
                <w:szCs w:val="18"/>
              </w:rPr>
              <w:t xml:space="preserve">Cross-functional AI tools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 /ai/rules, PATCH/DELETE /ai/rules/:id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AI Feature Builder rule CRUD</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/ai/rules/:id/run</w:t>
            </w:r>
          </w:p>
        </w:tc>
        <w:tc>
          <w:tcPr>
            <w:tcW w:type="dxa" w:w="1200"/>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tcMar>
              <w:top w:type="dxa" w:w="60"/>
              <w:left w:type="dxa" w:w="100"/>
              <w:bottom w:type="dxa" w:w="60"/>
              <w:right w:type="dxa" w:w="100"/>
            </w:tcMar>
            <w:vAlign w:val="center"/>
          </w:tcPr>
          <w:p>
            <w:pPr>
              <w:jc w:val="left"/>
            </w:pPr>
            <w:r>
              <w:rPr>
                <w:b w:val="false"/>
                <w:bCs w:val="false"/>
                <w:sz w:val="18"/>
                <w:szCs w:val="18"/>
              </w:rPr>
              <w:t xml:space="preserve">Execute an AI Feature Builder rule</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GET/PUT /ai/studio/context</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Business Context config</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GET/POST /ai/studio/functions, PATCH/DELETE /:id</w:t>
            </w:r>
          </w:p>
        </w:tc>
        <w:tc>
          <w:tcPr>
            <w:tcW w:type="dxa" w:w="1200"/>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Custom AI Function CRUD</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/ai/studio/functions/:id/run</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Run a Custom AI Function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GET/POST /ai/studio/scripts, PATCH/DELETE /:id</w:t>
            </w:r>
          </w:p>
        </w:tc>
        <w:tc>
          <w:tcPr>
            <w:tcW w:type="dxa" w:w="1200"/>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Custom Script CRUD</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/ai/studio/scripts/validate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Syntax-check a Custom Script</w:t>
            </w:r>
          </w:p>
        </w:tc>
      </w:tr>
    </w:tbl>
    <w:p>
      <w:pPr>
        <w:pStyle w:val="Heading2"/>
        <w:spacing w:after="160" w:before="360"/>
      </w:pPr>
      <w:r>
        <w:rPr>
          <w:b/>
          <w:bCs/>
          <w:color w:val="1F2937"/>
          <w:sz w:val="26"/>
          <w:szCs w:val="26"/>
        </w:rPr>
        <w:t xml:space="preserve">13.7 Analytics, Reports, Search, Comments, Audit — assorted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Method &amp; Path</w:t>
            </w:r>
          </w:p>
        </w:tc>
        <w:tc>
          <w:tcPr>
            <w:tcW w:type="dxa" w:w="12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4200"/>
            <w:shd w:fill="E5E7EB" w:val="clear"/>
            <w:tcMar>
              <w:top w:type="dxa" w:w="60"/>
              <w:left w:type="dxa" w:w="100"/>
              <w:bottom w:type="dxa" w:w="60"/>
              <w:right w:type="dxa" w:w="100"/>
            </w:tcMar>
            <w:vAlign w:val="center"/>
          </w:tcPr>
          <w:p>
            <w:pPr>
              <w:jc w:val="left"/>
            </w:pPr>
            <w:r>
              <w:rPr>
                <w:b/>
                <w:bCs/>
                <w:color w:val="111827"/>
                <w:sz w:val="18"/>
                <w:szCs w:val="18"/>
              </w:rPr>
              <w:t xml:space="preserve">Description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/analytics/overview</w:t>
            </w:r>
          </w:p>
        </w:tc>
        <w:tc>
          <w:tcPr>
            <w:tcW w:type="dxa" w:w="1200"/>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30-day KPI deltas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/analytics/tickets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Ticket analytics + 7-day forecast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/analytics/crm</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CRM analytics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/reports/tickets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Legacy ticket report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/reports/crm</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Legacy CRM report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/search</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Cross-entity global search</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/comments/:entityType/:entityId</w:t>
            </w:r>
          </w:p>
        </w:tc>
        <w:tc>
          <w:tcPr>
            <w:tcW w:type="dxa" w:w="1200"/>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tcMar>
              <w:top w:type="dxa" w:w="60"/>
              <w:left w:type="dxa" w:w="100"/>
              <w:bottom w:type="dxa" w:w="60"/>
              <w:right w:type="dxa" w:w="100"/>
            </w:tcMar>
            <w:vAlign w:val="center"/>
          </w:tcPr>
          <w:p>
            <w:pPr>
              <w:jc w:val="left"/>
            </w:pPr>
            <w:r>
              <w:rPr>
                <w:b w:val="false"/>
                <w:bCs w:val="false"/>
                <w:sz w:val="18"/>
                <w:szCs w:val="18"/>
              </w:rPr>
              <w:t xml:space="preserve">List comments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/comments/:entityType/:entityId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Add comment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PATCH/DELETE /comments/:id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tcMar>
              <w:top w:type="dxa" w:w="60"/>
              <w:left w:type="dxa" w:w="100"/>
              <w:bottom w:type="dxa" w:w="60"/>
              <w:right w:type="dxa" w:w="100"/>
            </w:tcMar>
            <w:vAlign w:val="center"/>
          </w:tcPr>
          <w:p>
            <w:pPr>
              <w:jc w:val="left"/>
            </w:pPr>
            <w:r>
              <w:rPr>
                <w:b w:val="false"/>
                <w:bCs w:val="false"/>
                <w:sz w:val="18"/>
                <w:szCs w:val="18"/>
              </w:rPr>
              <w:t xml:space="preserve">Edit/delete own comment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/audit-logs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Audit trail</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GET/PATCH /notifications</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tcMar>
              <w:top w:type="dxa" w:w="60"/>
              <w:left w:type="dxa" w:w="100"/>
              <w:bottom w:type="dxa" w:w="60"/>
              <w:right w:type="dxa" w:w="100"/>
            </w:tcMar>
            <w:vAlign w:val="center"/>
          </w:tcPr>
          <w:p>
            <w:pPr>
              <w:jc w:val="left"/>
            </w:pPr>
            <w:r>
              <w:rPr>
                <w:b w:val="false"/>
                <w:bCs w:val="false"/>
                <w:sz w:val="18"/>
                <w:szCs w:val="18"/>
              </w:rPr>
              <w:t xml:space="preserve">Notification center</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/notifications/read-all</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ALL</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Mark all read</w:t>
            </w:r>
          </w:p>
        </w:tc>
      </w:tr>
    </w:tbl>
    <w:p>
      <w:pPr>
        <w:pStyle w:val="Heading2"/>
        <w:spacing w:after="160" w:before="360"/>
      </w:pPr>
      <w:r>
        <w:rPr>
          <w:b/>
          <w:bCs/>
          <w:color w:val="1F2937"/>
          <w:sz w:val="26"/>
          <w:szCs w:val="26"/>
        </w:rPr>
        <w:t xml:space="preserve">13.8 Settings, Integrations, Billing, Security — assorted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Method &amp; Path</w:t>
            </w:r>
          </w:p>
        </w:tc>
        <w:tc>
          <w:tcPr>
            <w:tcW w:type="dxa" w:w="12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4200"/>
            <w:shd w:fill="E5E7EB" w:val="clear"/>
            <w:tcMar>
              <w:top w:type="dxa" w:w="60"/>
              <w:left w:type="dxa" w:w="100"/>
              <w:bottom w:type="dxa" w:w="60"/>
              <w:right w:type="dxa" w:w="100"/>
            </w:tcMar>
            <w:vAlign w:val="center"/>
          </w:tcPr>
          <w:p>
            <w:pPr>
              <w:jc w:val="left"/>
            </w:pPr>
            <w:r>
              <w:rPr>
                <w:b/>
                <w:bCs/>
                <w:color w:val="111827"/>
                <w:sz w:val="18"/>
                <w:szCs w:val="18"/>
              </w:rPr>
              <w:t xml:space="preserve">Description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GET/POST/PUT/DELETE /slack/config, POST /slack/test</w:t>
            </w:r>
          </w:p>
        </w:tc>
        <w:tc>
          <w:tcPr>
            <w:tcW w:type="dxa" w:w="1200"/>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Slack integration</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GET/POST/PUT/DELETE /teams (config), POST /teams/test</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MS Teams integration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/billing/subscription</w:t>
            </w:r>
          </w:p>
        </w:tc>
        <w:tc>
          <w:tcPr>
            <w:tcW w:type="dxa" w:w="1200"/>
            <w:tcMar>
              <w:top w:type="dxa" w:w="60"/>
              <w:left w:type="dxa" w:w="100"/>
              <w:bottom w:type="dxa" w:w="60"/>
              <w:right w:type="dxa" w:w="100"/>
            </w:tcMar>
            <w:vAlign w:val="center"/>
          </w:tcPr>
          <w:p>
            <w:pPr>
              <w:jc w:val="left"/>
            </w:pPr>
            <w:r>
              <w:rPr>
                <w:b w:val="false"/>
                <w:bCs w:val="false"/>
                <w:sz w:val="18"/>
                <w:szCs w:val="18"/>
              </w:rPr>
              <w:t xml:space="preserve">ADMIN</w:t>
            </w:r>
          </w:p>
        </w:tc>
        <w:tc>
          <w:tcPr>
            <w:tcW w:type="dxa" w:w="4200"/>
            <w:tcMar>
              <w:top w:type="dxa" w:w="60"/>
              <w:left w:type="dxa" w:w="100"/>
              <w:bottom w:type="dxa" w:w="60"/>
              <w:right w:type="dxa" w:w="100"/>
            </w:tcMar>
            <w:vAlign w:val="center"/>
          </w:tcPr>
          <w:p>
            <w:pPr>
              <w:jc w:val="left"/>
            </w:pPr>
            <w:r>
              <w:rPr>
                <w:b w:val="false"/>
                <w:bCs w:val="false"/>
                <w:sz w:val="18"/>
                <w:szCs w:val="18"/>
              </w:rPr>
              <w:t xml:space="preserve">Current plan</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/billing/checkout, /billing/portal</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ADMIN</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Stripe Checkout / Billing Portal</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/billing/webhook</w:t>
            </w:r>
          </w:p>
        </w:tc>
        <w:tc>
          <w:tcPr>
            <w:tcW w:type="dxa" w:w="1200"/>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tcMar>
              <w:top w:type="dxa" w:w="60"/>
              <w:left w:type="dxa" w:w="100"/>
              <w:bottom w:type="dxa" w:w="60"/>
              <w:right w:type="dxa" w:w="100"/>
            </w:tcMar>
            <w:vAlign w:val="center"/>
          </w:tcPr>
          <w:p>
            <w:pPr>
              <w:jc w:val="left"/>
            </w:pPr>
            <w:r>
              <w:rPr>
                <w:b w:val="false"/>
                <w:bCs w:val="false"/>
                <w:sz w:val="18"/>
                <w:szCs w:val="18"/>
              </w:rPr>
              <w:t xml:space="preserve">Stripe event webhook</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GET/PUT/DELETE /branding</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ADMIN (write) / ALL (read)</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Org branding</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/branding/public/:orgId</w:t>
            </w:r>
          </w:p>
        </w:tc>
        <w:tc>
          <w:tcPr>
            <w:tcW w:type="dxa" w:w="1200"/>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tcMar>
              <w:top w:type="dxa" w:w="60"/>
              <w:left w:type="dxa" w:w="100"/>
              <w:bottom w:type="dxa" w:w="60"/>
              <w:right w:type="dxa" w:w="100"/>
            </w:tcMar>
            <w:vAlign w:val="center"/>
          </w:tcPr>
          <w:p>
            <w:pPr>
              <w:jc w:val="left"/>
            </w:pPr>
            <w:r>
              <w:rPr>
                <w:b w:val="false"/>
                <w:bCs w:val="false"/>
                <w:sz w:val="18"/>
                <w:szCs w:val="18"/>
              </w:rPr>
              <w:t xml:space="preserve">Portal-facing branding lookup</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GET/POST/PATCH/DELETE /api-keys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ADMIN</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API key management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GET/POST/PATCH/DELETE /custom-fields</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 (read) / MGR (write)</w:t>
            </w:r>
          </w:p>
        </w:tc>
        <w:tc>
          <w:tcPr>
            <w:tcW w:type="dxa" w:w="4200"/>
            <w:tcMar>
              <w:top w:type="dxa" w:w="60"/>
              <w:left w:type="dxa" w:w="100"/>
              <w:bottom w:type="dxa" w:w="60"/>
              <w:right w:type="dxa" w:w="100"/>
            </w:tcMar>
            <w:vAlign w:val="center"/>
          </w:tcPr>
          <w:p>
            <w:pPr>
              <w:jc w:val="left"/>
            </w:pPr>
            <w:r>
              <w:rPr>
                <w:b w:val="false"/>
                <w:bCs w:val="false"/>
                <w:sz w:val="18"/>
                <w:szCs w:val="18"/>
              </w:rPr>
              <w:t xml:space="preserve">Custom field definitions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 /custom-fields/values/:entityId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STAFF</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Custom field values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POST/GET /2fa/setup, /enable, /disable, /status</w:t>
            </w:r>
          </w:p>
        </w:tc>
        <w:tc>
          <w:tcPr>
            <w:tcW w:type="dxa" w:w="1200"/>
            <w:tcMar>
              <w:top w:type="dxa" w:w="60"/>
              <w:left w:type="dxa" w:w="100"/>
              <w:bottom w:type="dxa" w:w="60"/>
              <w:right w:type="dxa" w:w="100"/>
            </w:tcMar>
            <w:vAlign w:val="center"/>
          </w:tcPr>
          <w:p>
            <w:pPr>
              <w:jc w:val="left"/>
            </w:pPr>
            <w:r>
              <w:rPr>
                <w:b w:val="false"/>
                <w:bCs w:val="false"/>
                <w:sz w:val="18"/>
                <w:szCs w:val="18"/>
              </w:rPr>
              <w:t xml:space="preserve">ALL (own account)</w:t>
            </w:r>
          </w:p>
        </w:tc>
        <w:tc>
          <w:tcPr>
            <w:tcW w:type="dxa" w:w="4200"/>
            <w:tcMar>
              <w:top w:type="dxa" w:w="60"/>
              <w:left w:type="dxa" w:w="100"/>
              <w:bottom w:type="dxa" w:w="60"/>
              <w:right w:type="dxa" w:w="100"/>
            </w:tcMar>
            <w:vAlign w:val="center"/>
          </w:tcPr>
          <w:p>
            <w:pPr>
              <w:jc w:val="left"/>
            </w:pPr>
            <w:r>
              <w:rPr>
                <w:b w:val="false"/>
                <w:bCs w:val="false"/>
                <w:sz w:val="18"/>
                <w:szCs w:val="18"/>
              </w:rPr>
              <w:t xml:space="preserve">TOTP 2FA</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GET/POST/PATCH/DELETE /campaigns, POST /campaigns/:id/send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 / CRM-MGR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Email campaigns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GET/POST/PATCH/DELETE /change-requests, /:id/approve, /:id/reject</w:t>
            </w:r>
          </w:p>
        </w:tc>
        <w:tc>
          <w:tcPr>
            <w:tcW w:type="dxa" w:w="1200"/>
            <w:tcMar>
              <w:top w:type="dxa" w:w="60"/>
              <w:left w:type="dxa" w:w="100"/>
              <w:bottom w:type="dxa" w:w="60"/>
              <w:right w:type="dxa" w:w="100"/>
            </w:tcMar>
            <w:vAlign w:val="center"/>
          </w:tcPr>
          <w:p>
            <w:pPr>
              <w:jc w:val="left"/>
            </w:pPr>
            <w:r>
              <w:rPr>
                <w:b w:val="false"/>
                <w:bCs w:val="false"/>
                <w:sz w:val="18"/>
                <w:szCs w:val="18"/>
              </w:rPr>
              <w:t xml:space="preserve">IT / IT-MGR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Change management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GET/POST/PATCH/DELETE /quotes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CRM</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Sales quotes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/import/contacts, /import/leads</w:t>
            </w:r>
          </w:p>
        </w:tc>
        <w:tc>
          <w:tcPr>
            <w:tcW w:type="dxa" w:w="1200"/>
            <w:tcMar>
              <w:top w:type="dxa" w:w="60"/>
              <w:left w:type="dxa" w:w="100"/>
              <w:bottom w:type="dxa" w:w="60"/>
              <w:right w:type="dxa" w:w="100"/>
            </w:tcMar>
            <w:vAlign w:val="center"/>
          </w:tcPr>
          <w:p>
            <w:pPr>
              <w:jc w:val="left"/>
            </w:pPr>
            <w:r>
              <w:rPr>
                <w:b w:val="false"/>
                <w:bCs w:val="false"/>
                <w:sz w:val="18"/>
                <w:szCs w:val="18"/>
              </w:rPr>
              <w:t xml:space="preserve">CRM-MGR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CSV bulk import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 /csat, GET /csat/stats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CSAT responses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/csat/submit/:ticketId</w:t>
            </w:r>
          </w:p>
        </w:tc>
        <w:tc>
          <w:tcPr>
            <w:tcW w:type="dxa" w:w="1200"/>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tcMar>
              <w:top w:type="dxa" w:w="60"/>
              <w:left w:type="dxa" w:w="100"/>
              <w:bottom w:type="dxa" w:w="60"/>
              <w:right w:type="dxa" w:w="100"/>
            </w:tcMar>
            <w:vAlign w:val="center"/>
          </w:tcPr>
          <w:p>
            <w:pPr>
              <w:jc w:val="left"/>
            </w:pPr>
            <w:r>
              <w:rPr>
                <w:b w:val="false"/>
                <w:bCs w:val="false"/>
                <w:sz w:val="18"/>
                <w:szCs w:val="18"/>
              </w:rPr>
              <w:t xml:space="preserve">Customer CSAT submission</w:t>
            </w:r>
          </w:p>
        </w:tc>
      </w:tr>
    </w:tbl>
    <w:p>
      <w:pPr>
        <w:pStyle w:val="Heading2"/>
        <w:spacing w:after="160" w:before="360"/>
      </w:pPr>
      <w:r>
        <w:rPr>
          <w:b/>
          <w:bCs/>
          <w:color w:val="1F2937"/>
          <w:sz w:val="26"/>
          <w:szCs w:val="26"/>
        </w:rPr>
        <w:t xml:space="preserve">13.9 Customer Portal — /api/portal, /api/portal-users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Method &amp; Path</w:t>
            </w:r>
          </w:p>
        </w:tc>
        <w:tc>
          <w:tcPr>
            <w:tcW w:type="dxa" w:w="1200"/>
            <w:shd w:fill="E5E7EB" w:val="clear"/>
            <w:tcMar>
              <w:top w:type="dxa" w:w="60"/>
              <w:left w:type="dxa" w:w="100"/>
              <w:bottom w:type="dxa" w:w="60"/>
              <w:right w:type="dxa" w:w="100"/>
            </w:tcMar>
            <w:vAlign w:val="center"/>
          </w:tcPr>
          <w:p>
            <w:pPr>
              <w:jc w:val="left"/>
            </w:pPr>
            <w:r>
              <w:rPr>
                <w:b/>
                <w:bCs/>
                <w:color w:val="111827"/>
                <w:sz w:val="18"/>
                <w:szCs w:val="18"/>
              </w:rPr>
              <w:t xml:space="preserve">Role</w:t>
            </w:r>
          </w:p>
        </w:tc>
        <w:tc>
          <w:tcPr>
            <w:tcW w:type="dxa" w:w="4200"/>
            <w:shd w:fill="E5E7EB" w:val="clear"/>
            <w:tcMar>
              <w:top w:type="dxa" w:w="60"/>
              <w:left w:type="dxa" w:w="100"/>
              <w:bottom w:type="dxa" w:w="60"/>
              <w:right w:type="dxa" w:w="100"/>
            </w:tcMar>
            <w:vAlign w:val="center"/>
          </w:tcPr>
          <w:p>
            <w:pPr>
              <w:jc w:val="left"/>
            </w:pPr>
            <w:r>
              <w:rPr>
                <w:b/>
                <w:bCs/>
                <w:color w:val="111827"/>
                <w:sz w:val="18"/>
                <w:szCs w:val="18"/>
              </w:rPr>
              <w:t xml:space="preserve">Description</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/portal/request-access</w:t>
            </w:r>
          </w:p>
        </w:tc>
        <w:tc>
          <w:tcPr>
            <w:tcW w:type="dxa" w:w="1200"/>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tcMar>
              <w:top w:type="dxa" w:w="60"/>
              <w:left w:type="dxa" w:w="100"/>
              <w:bottom w:type="dxa" w:w="60"/>
              <w:right w:type="dxa" w:w="100"/>
            </w:tcMar>
            <w:vAlign w:val="center"/>
          </w:tcPr>
          <w:p>
            <w:pPr>
              <w:jc w:val="left"/>
            </w:pPr>
            <w:r>
              <w:rPr>
                <w:b w:val="false"/>
                <w:bCs w:val="false"/>
                <w:sz w:val="18"/>
                <w:szCs w:val="18"/>
              </w:rPr>
              <w:t xml:space="preserve">Magic-link login request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/portal/verify</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Public</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Verify token, issue portal JWT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GET /portal/me</w:t>
            </w:r>
          </w:p>
        </w:tc>
        <w:tc>
          <w:tcPr>
            <w:tcW w:type="dxa" w:w="1200"/>
            <w:tcMar>
              <w:top w:type="dxa" w:w="60"/>
              <w:left w:type="dxa" w:w="100"/>
              <w:bottom w:type="dxa" w:w="60"/>
              <w:right w:type="dxa" w:w="100"/>
            </w:tcMar>
            <w:vAlign w:val="center"/>
          </w:tcPr>
          <w:p>
            <w:pPr>
              <w:jc w:val="left"/>
            </w:pPr>
            <w:r>
              <w:rPr>
                <w:b w:val="false"/>
                <w:bCs w:val="false"/>
                <w:sz w:val="18"/>
                <w:szCs w:val="18"/>
              </w:rPr>
              <w:t xml:space="preserve">Portal auth</w:t>
            </w:r>
          </w:p>
        </w:tc>
        <w:tc>
          <w:tcPr>
            <w:tcW w:type="dxa" w:w="4200"/>
            <w:tcMar>
              <w:top w:type="dxa" w:w="60"/>
              <w:left w:type="dxa" w:w="100"/>
              <w:bottom w:type="dxa" w:w="60"/>
              <w:right w:type="dxa" w:w="100"/>
            </w:tcMar>
            <w:vAlign w:val="center"/>
          </w:tcPr>
          <w:p>
            <w:pPr>
              <w:jc w:val="left"/>
            </w:pPr>
            <w:r>
              <w:rPr>
                <w:b w:val="false"/>
                <w:bCs w:val="false"/>
                <w:sz w:val="18"/>
                <w:szCs w:val="18"/>
              </w:rPr>
              <w:t xml:space="preserve">Own profile</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 /portal/tickets, /portal/tickets/:id</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Portal auth</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Own tickets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POST /portal/tickets</w:t>
            </w:r>
          </w:p>
        </w:tc>
        <w:tc>
          <w:tcPr>
            <w:tcW w:type="dxa" w:w="1200"/>
            <w:tcMar>
              <w:top w:type="dxa" w:w="60"/>
              <w:left w:type="dxa" w:w="100"/>
              <w:bottom w:type="dxa" w:w="60"/>
              <w:right w:type="dxa" w:w="100"/>
            </w:tcMar>
            <w:vAlign w:val="center"/>
          </w:tcPr>
          <w:p>
            <w:pPr>
              <w:jc w:val="left"/>
            </w:pPr>
            <w:r>
              <w:rPr>
                <w:b w:val="false"/>
                <w:bCs w:val="false"/>
                <w:sz w:val="18"/>
                <w:szCs w:val="18"/>
              </w:rPr>
              <w:t xml:space="preserve">Portal auth</w:t>
            </w:r>
          </w:p>
        </w:tc>
        <w:tc>
          <w:tcPr>
            <w:tcW w:type="dxa" w:w="4200"/>
            <w:tcMar>
              <w:top w:type="dxa" w:w="60"/>
              <w:left w:type="dxa" w:w="100"/>
              <w:bottom w:type="dxa" w:w="60"/>
              <w:right w:type="dxa" w:w="100"/>
            </w:tcMar>
            <w:vAlign w:val="center"/>
          </w:tcPr>
          <w:p>
            <w:pPr>
              <w:jc w:val="left"/>
            </w:pPr>
            <w:r>
              <w:rPr>
                <w:b w:val="false"/>
                <w:bCs w:val="false"/>
                <w:sz w:val="18"/>
                <w:szCs w:val="18"/>
              </w:rPr>
              <w:t xml:space="preserve">Submit a new ticket</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GET/POST /portal-users</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List/create customer accounts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PATCH /portal-users/:id/toggle</w:t>
            </w:r>
          </w:p>
        </w:tc>
        <w:tc>
          <w:tcPr>
            <w:tcW w:type="dxa" w:w="1200"/>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Activate/deactivate</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POST /portal-users/:id/resend-invite</w:t>
            </w:r>
          </w:p>
        </w:tc>
        <w:tc>
          <w:tcPr>
            <w:tcW w:type="dxa" w:w="1200"/>
            <w:shd w:fill="F9FAFB" w:val="clear"/>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shd w:fill="F9FAFB" w:val="clear"/>
            <w:tcMar>
              <w:top w:type="dxa" w:w="60"/>
              <w:left w:type="dxa" w:w="100"/>
              <w:bottom w:type="dxa" w:w="60"/>
              <w:right w:type="dxa" w:w="100"/>
            </w:tcMar>
            <w:vAlign w:val="center"/>
          </w:tcPr>
          <w:p>
            <w:pPr>
              <w:jc w:val="left"/>
            </w:pPr>
            <w:r>
              <w:rPr>
                <w:b w:val="false"/>
                <w:bCs w:val="false"/>
                <w:sz w:val="18"/>
                <w:szCs w:val="18"/>
              </w:rPr>
              <w:t xml:space="preserve">Resend portal invite</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DELETE /portal-users/:id</w:t>
            </w:r>
          </w:p>
        </w:tc>
        <w:tc>
          <w:tcPr>
            <w:tcW w:type="dxa" w:w="1200"/>
            <w:tcMar>
              <w:top w:type="dxa" w:w="60"/>
              <w:left w:type="dxa" w:w="100"/>
              <w:bottom w:type="dxa" w:w="60"/>
              <w:right w:type="dxa" w:w="100"/>
            </w:tcMar>
            <w:vAlign w:val="center"/>
          </w:tcPr>
          <w:p>
            <w:pPr>
              <w:jc w:val="left"/>
            </w:pPr>
            <w:r>
              <w:rPr>
                <w:b w:val="false"/>
                <w:bCs w:val="false"/>
                <w:sz w:val="18"/>
                <w:szCs w:val="18"/>
              </w:rPr>
              <w:t xml:space="preserve">IT-MGR</w:t>
            </w:r>
          </w:p>
        </w:tc>
        <w:tc>
          <w:tcPr>
            <w:tcW w:type="dxa" w:w="4200"/>
            <w:tcMar>
              <w:top w:type="dxa" w:w="60"/>
              <w:left w:type="dxa" w:w="100"/>
              <w:bottom w:type="dxa" w:w="60"/>
              <w:right w:type="dxa" w:w="100"/>
            </w:tcMar>
            <w:vAlign w:val="center"/>
          </w:tcPr>
          <w:p>
            <w:pPr>
              <w:jc w:val="left"/>
            </w:pPr>
            <w:r>
              <w:rPr>
                <w:b w:val="false"/>
                <w:bCs w:val="false"/>
                <w:sz w:val="18"/>
                <w:szCs w:val="18"/>
              </w:rPr>
              <w:t xml:space="preserve">Remove customer account</w:t>
            </w:r>
          </w:p>
        </w:tc>
      </w:tr>
    </w:tbl>
    <w:p>
      <w:r>
        <w:br w:type="page"/>
      </w:r>
    </w:p>
    <w:p>
      <w:pPr>
        <w:pStyle w:val="Heading1"/>
        <w:pBdr>
          <w:bottom w:val="single" w:color="2563EB" w:sz="12" w:space="4"/>
        </w:pBdr>
        <w:spacing w:after="240" w:before="480"/>
      </w:pPr>
      <w:r>
        <w:rPr>
          <w:b/>
          <w:bCs/>
          <w:color w:val="1F2937"/>
          <w:sz w:val="32"/>
          <w:szCs w:val="32"/>
        </w:rPr>
        <w:t xml:space="preserve">14. Known Gaps &amp; Technical Notes</w:t>
      </w:r>
    </w:p>
    <w:p>
      <w:pPr>
        <w:spacing w:after="160" w:line="288"/>
      </w:pPr>
      <w:r>
        <w:rPr>
          <w:sz w:val="21"/>
          <w:szCs w:val="21"/>
        </w:rPr>
        <w:t xml:space="preserve">These are implementation details worth flagging explicitly — not bugs in the sense of broken features, but places where the code's actual behavior differs from what the surrounding design would imply, or where a security-relevant shortcut has been taken deliberately or otherwise.</w:t>
      </w:r>
    </w:p>
    <w:p>
      <w:pPr>
        <w:pStyle w:val="Heading2"/>
        <w:spacing w:after="160" w:before="360"/>
      </w:pPr>
      <w:r>
        <w:rPr>
          <w:b/>
          <w:bCs/>
          <w:color w:val="1F2937"/>
          <w:sz w:val="26"/>
          <w:szCs w:val="26"/>
        </w:rPr>
        <w:t xml:space="preserve">14.1 Confirmed Gaps</w:t>
      </w:r>
    </w:p>
    <w:p>
      <w:pPr>
        <w:pStyle w:val="ListParagraph"/>
        <w:numPr>
          <w:ilvl w:val="0"/>
          <w:numId w:val="6"/>
        </w:numPr>
        <w:spacing w:after="90" w:line="276"/>
      </w:pPr>
      <w:r>
        <w:rPr>
          <w:b/>
          <w:bCs/>
          <w:sz w:val="20"/>
          <w:szCs w:val="20"/>
        </w:rPr>
        <w:t xml:space="preserve">2FA not enforced at login. </w:t>
      </w:r>
      <w:r>
        <w:rPr>
          <w:sz w:val="20"/>
          <w:szCs w:val="20"/>
        </w:rPr>
        <w:t xml:space="preserve">TOTP setup/enable/disable/backup-codes are fully implemented, but auth.controller.ts's login() never calls the exported verifyTotpLogin() helper. A user with 2FA "enabled" is not actually challenged for a code today.</w:t>
      </w:r>
    </w:p>
    <w:p>
      <w:pPr>
        <w:pStyle w:val="ListParagraph"/>
        <w:numPr>
          <w:ilvl w:val="0"/>
          <w:numId w:val="6"/>
        </w:numPr>
        <w:spacing w:after="90" w:line="276"/>
      </w:pPr>
      <w:r>
        <w:rPr>
          <w:b/>
          <w:bCs/>
          <w:sz w:val="20"/>
          <w:szCs w:val="20"/>
        </w:rPr>
        <w:t xml:space="preserve">Comments are not org-scoped. </w:t>
      </w:r>
      <w:r>
        <w:rPr>
          <w:sz w:val="20"/>
          <w:szCs w:val="20"/>
        </w:rPr>
        <w:t xml:space="preserve">Every other controller in the codebase filters or matches by orgId; the comments controller filters only by entityType/entityId, leaving a theoretical cross-tenant read/write path if an entity ID from another organization were guessed.</w:t>
      </w:r>
    </w:p>
    <w:p>
      <w:pPr>
        <w:pStyle w:val="ListParagraph"/>
        <w:numPr>
          <w:ilvl w:val="0"/>
          <w:numId w:val="6"/>
        </w:numPr>
        <w:spacing w:after="90" w:line="276"/>
      </w:pPr>
      <w:r>
        <w:rPr>
          <w:b/>
          <w:bCs/>
          <w:sz w:val="20"/>
          <w:szCs w:val="20"/>
        </w:rPr>
        <w:t xml:space="preserve">Dead notification stub. </w:t>
      </w:r>
      <w:r>
        <w:rPr>
          <w:sz w:val="20"/>
          <w:szCs w:val="20"/>
        </w:rPr>
        <w:t xml:space="preserve">modules/core/notifications is a 6-line stub that returns a placeholder string and is never mounted in index.ts. The real, active notification center lives in the separate top-level notifications module.</w:t>
      </w:r>
    </w:p>
    <w:p>
      <w:pPr>
        <w:pStyle w:val="ListParagraph"/>
        <w:numPr>
          <w:ilvl w:val="0"/>
          <w:numId w:val="6"/>
        </w:numPr>
        <w:spacing w:after="90" w:line="276"/>
      </w:pPr>
      <w:r>
        <w:rPr>
          <w:b/>
          <w:bCs/>
          <w:sz w:val="20"/>
          <w:szCs w:val="20"/>
        </w:rPr>
        <w:t xml:space="preserve">Workflow engine/schema mismatch. </w:t>
      </w:r>
      <w:r>
        <w:rPr>
          <w:sz w:val="20"/>
          <w:szCs w:val="20"/>
        </w:rPr>
        <w:t xml:space="preserve">The engine implementation supports a CREATE_TICKET workflow action, but the API's request-validation schema does not allow it to be configured, so it is effectively unreachable through the product today.</w:t>
      </w:r>
    </w:p>
    <w:p>
      <w:pPr>
        <w:pStyle w:val="ListParagraph"/>
        <w:numPr>
          <w:ilvl w:val="0"/>
          <w:numId w:val="6"/>
        </w:numPr>
        <w:spacing w:after="90" w:line="276"/>
      </w:pPr>
      <w:r>
        <w:rPr>
          <w:b/>
          <w:bCs/>
          <w:sz w:val="20"/>
          <w:szCs w:val="20"/>
        </w:rPr>
        <w:t xml:space="preserve">Client-side-only route authorization. </w:t>
      </w:r>
      <w:r>
        <w:rPr>
          <w:sz w:val="20"/>
          <w:szCs w:val="20"/>
        </w:rPr>
        <w:t xml:space="preserve">No route in the SPA is gated by role; a direct URL visit renders the page regardless of the visitor's role (only the Users admin page adds an explicit in-component check). Real enforcement is server-side, but the UI does not prevent navigation to pages a role can't act on.</w:t>
      </w:r>
    </w:p>
    <w:p>
      <w:pPr>
        <w:pStyle w:val="ListParagraph"/>
        <w:numPr>
          <w:ilvl w:val="0"/>
          <w:numId w:val="6"/>
        </w:numPr>
        <w:spacing w:after="90" w:line="276"/>
      </w:pPr>
      <w:r>
        <w:rPr>
          <w:b/>
          <w:bCs/>
          <w:sz w:val="20"/>
          <w:szCs w:val="20"/>
        </w:rPr>
        <w:t xml:space="preserve">Email credentials stored in plain text. </w:t>
      </w:r>
      <w:r>
        <w:rPr>
          <w:sz w:val="20"/>
          <w:szCs w:val="20"/>
        </w:rPr>
        <w:t xml:space="preserve">EmailAccount.password has no visible field-level encryption at rest, unlike refresh tokens, portal tokens, and API keys, which are all hashed before storage.</w:t>
      </w:r>
    </w:p>
    <w:p>
      <w:pPr>
        <w:pStyle w:val="ListParagraph"/>
        <w:numPr>
          <w:ilvl w:val="0"/>
          <w:numId w:val="6"/>
        </w:numPr>
        <w:spacing w:after="90" w:line="276"/>
      </w:pPr>
      <w:r>
        <w:rPr>
          <w:b/>
          <w:bCs/>
          <w:sz w:val="20"/>
          <w:szCs w:val="20"/>
        </w:rPr>
        <w:t xml:space="preserve">No working dark mode. </w:t>
      </w:r>
      <w:r>
        <w:rPr>
          <w:sz w:val="20"/>
          <w:szCs w:val="20"/>
        </w:rPr>
        <w:t xml:space="preserve">Tailwind dark: classes are present throughout the frontend, but nothing ever toggles the dark class onto the document root, so dark mode does not currently function despite the groundwork being in place.</w:t>
      </w:r>
    </w:p>
    <w:p>
      <w:pPr>
        <w:pStyle w:val="ListParagraph"/>
        <w:numPr>
          <w:ilvl w:val="0"/>
          <w:numId w:val="6"/>
        </w:numPr>
        <w:spacing w:after="90" w:line="276"/>
      </w:pPr>
      <w:r>
        <w:rPr>
          <w:b/>
          <w:bCs/>
          <w:sz w:val="20"/>
          <w:szCs w:val="20"/>
        </w:rPr>
        <w:t xml:space="preserve">Possibly-superseded components. </w:t>
      </w:r>
      <w:r>
        <w:rPr>
          <w:sz w:val="20"/>
          <w:szCs w:val="20"/>
        </w:rPr>
        <w:t xml:space="preserve">A second GlobalSearch component and router-state-based AI Command Bar prefill payload both appear to be partially wired — present in the code but not fully connected to what's actually mounted or read elsewhere.</w:t>
      </w:r>
    </w:p>
    <w:p>
      <w:pPr>
        <w:pStyle w:val="ListParagraph"/>
        <w:numPr>
          <w:ilvl w:val="0"/>
          <w:numId w:val="6"/>
        </w:numPr>
        <w:spacing w:after="90" w:line="276"/>
      </w:pPr>
      <w:r>
        <w:rPr>
          <w:b/>
          <w:bCs/>
          <w:sz w:val="20"/>
          <w:szCs w:val="20"/>
        </w:rPr>
        <w:t xml:space="preserve">Webhook actions have no signature verification or retry. </w:t>
      </w:r>
      <w:r>
        <w:rPr>
          <w:sz w:val="20"/>
          <w:szCs w:val="20"/>
        </w:rPr>
        <w:t xml:space="preserve">The Workflows engine's SEND_WEBHOOK action posts a plain, unsigned JSON payload with no HMAC and no retry-on-failure logic.</w:t>
      </w:r>
    </w:p>
    <w:p>
      <w:pPr>
        <w:pStyle w:val="ListParagraph"/>
        <w:numPr>
          <w:ilvl w:val="0"/>
          <w:numId w:val="6"/>
        </w:numPr>
        <w:spacing w:after="90" w:line="276"/>
      </w:pPr>
      <w:r>
        <w:rPr>
          <w:b/>
          <w:bCs/>
          <w:sz w:val="20"/>
          <w:szCs w:val="20"/>
        </w:rPr>
        <w:t xml:space="preserve">Unthrottled bulk email sends. </w:t>
      </w:r>
      <w:r>
        <w:rPr>
          <w:sz w:val="20"/>
          <w:szCs w:val="20"/>
        </w:rPr>
        <w:t xml:space="preserve">Campaign sends fire every recipient email concurrently via Promise.all with no batching, rate limiting, or delivery-failure handling beyond the final sent count.</w:t>
      </w:r>
    </w:p>
    <w:p>
      <w:pPr>
        <w:pStyle w:val="Heading2"/>
        <w:spacing w:after="160" w:before="360"/>
      </w:pPr>
      <w:r>
        <w:rPr>
          <w:b/>
          <w:bCs/>
          <w:color w:val="1F2937"/>
          <w:sz w:val="26"/>
          <w:szCs w:val="26"/>
        </w:rPr>
        <w:t xml:space="preserve">14.2 Deliberate Design Choices Worth Understanding</w:t>
      </w:r>
    </w:p>
    <w:p>
      <w:pPr>
        <w:pStyle w:val="ListParagraph"/>
        <w:numPr>
          <w:ilvl w:val="0"/>
          <w:numId w:val="2"/>
        </w:numPr>
        <w:spacing w:after="90" w:line="276"/>
      </w:pPr>
      <w:r>
        <w:rPr>
          <w:b/>
          <w:bCs/>
          <w:sz w:val="20"/>
          <w:szCs w:val="20"/>
        </w:rPr>
        <w:t xml:space="preserve">Multi-tenancy by convention, not by database policy </w:t>
      </w:r>
      <w:r>
        <w:rPr>
          <w:sz w:val="20"/>
          <w:szCs w:val="20"/>
        </w:rPr>
        <w:t xml:space="preserve">— every query is manually filtered by orgId inside each controller rather than enforced by a shared middleware or Postgres row-level security. Consistent, but it means every new endpoint must remember to apply the same filter.</w:t>
      </w:r>
    </w:p>
    <w:p>
      <w:pPr>
        <w:pStyle w:val="ListParagraph"/>
        <w:numPr>
          <w:ilvl w:val="0"/>
          <w:numId w:val="2"/>
        </w:numPr>
        <w:spacing w:after="90" w:line="276"/>
      </w:pPr>
      <w:r>
        <w:rPr>
          <w:b/>
          <w:bCs/>
          <w:sz w:val="20"/>
          <w:szCs w:val="20"/>
        </w:rPr>
        <w:t xml:space="preserve">Two fully separate auth systems </w:t>
      </w:r>
      <w:r>
        <w:rPr>
          <w:sz w:val="20"/>
          <w:szCs w:val="20"/>
        </w:rPr>
        <w:t xml:space="preserve">(staff vs. customer portal), distinguished only by a JWT iss claim, with entirely separate user tables and separate frontend session storage (localStorage vs. sessionStorage).</w:t>
      </w:r>
    </w:p>
    <w:p>
      <w:pPr>
        <w:pStyle w:val="ListParagraph"/>
        <w:numPr>
          <w:ilvl w:val="0"/>
          <w:numId w:val="2"/>
        </w:numPr>
        <w:spacing w:after="90" w:line="276"/>
      </w:pPr>
      <w:r>
        <w:rPr>
          <w:b/>
          <w:bCs/>
          <w:sz w:val="20"/>
          <w:szCs w:val="20"/>
        </w:rPr>
        <w:t xml:space="preserve">Fire-and-forget side effects everywhere </w:t>
      </w:r>
      <w:r>
        <w:rPr>
          <w:sz w:val="20"/>
          <w:szCs w:val="20"/>
        </w:rPr>
        <w:t xml:space="preserve">— workflow runs, Slack/Teams posts, SSE broadcasts, and notification creation are all invoked without awaiting failure, so a broken integration never blocks the primary request that triggered it.</w:t>
      </w:r>
    </w:p>
    <w:p>
      <w:pPr>
        <w:pStyle w:val="ListParagraph"/>
        <w:numPr>
          <w:ilvl w:val="0"/>
          <w:numId w:val="2"/>
        </w:numPr>
        <w:spacing w:after="90" w:line="276"/>
      </w:pPr>
      <w:r>
        <w:rPr>
          <w:b/>
          <w:bCs/>
          <w:sz w:val="20"/>
          <w:szCs w:val="20"/>
        </w:rPr>
        <w:t xml:space="preserve">SSE, not WebSockets, </w:t>
      </w:r>
      <w:r>
        <w:rPr>
          <w:sz w:val="20"/>
          <w:szCs w:val="20"/>
        </w:rPr>
        <w:t xml:space="preserve">is the only real-time transport in the system.</w:t>
      </w:r>
    </w:p>
    <w:p>
      <w:r>
        <w:br w:type="page"/>
      </w:r>
    </w:p>
    <w:p>
      <w:pPr>
        <w:pStyle w:val="Heading1"/>
        <w:pBdr>
          <w:bottom w:val="single" w:color="2563EB" w:sz="12" w:space="4"/>
        </w:pBdr>
        <w:spacing w:after="240" w:before="480"/>
      </w:pPr>
      <w:r>
        <w:rPr>
          <w:b/>
          <w:bCs/>
          <w:color w:val="1F2937"/>
          <w:sz w:val="32"/>
          <w:szCs w:val="32"/>
        </w:rPr>
        <w:t xml:space="preserve">Appendix A: Environment 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E5E7EB" w:val="clear"/>
            <w:tcMar>
              <w:top w:type="dxa" w:w="60"/>
              <w:left w:type="dxa" w:w="100"/>
              <w:bottom w:type="dxa" w:w="60"/>
              <w:right w:type="dxa" w:w="100"/>
            </w:tcMar>
            <w:vAlign w:val="center"/>
          </w:tcPr>
          <w:p>
            <w:pPr>
              <w:jc w:val="left"/>
            </w:pPr>
            <w:r>
              <w:rPr>
                <w:b/>
                <w:bCs/>
                <w:color w:val="111827"/>
                <w:sz w:val="18"/>
                <w:szCs w:val="18"/>
              </w:rPr>
              <w:t xml:space="preserve">Variable</w:t>
            </w:r>
          </w:p>
        </w:tc>
        <w:tc>
          <w:tcPr>
            <w:tcW w:type="dxa" w:w="6200"/>
            <w:shd w:fill="E5E7EB" w:val="clear"/>
            <w:tcMar>
              <w:top w:type="dxa" w:w="60"/>
              <w:left w:type="dxa" w:w="100"/>
              <w:bottom w:type="dxa" w:w="60"/>
              <w:right w:type="dxa" w:w="100"/>
            </w:tcMar>
            <w:vAlign w:val="center"/>
          </w:tcPr>
          <w:p>
            <w:pPr>
              <w:jc w:val="left"/>
            </w:pPr>
            <w:r>
              <w:rPr>
                <w:b/>
                <w:bCs/>
                <w:color w:val="111827"/>
                <w:sz w:val="18"/>
                <w:szCs w:val="18"/>
              </w:rPr>
              <w:t xml:space="preserve">Purpose</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DATABASE_URL</w:t>
            </w:r>
          </w:p>
        </w:tc>
        <w:tc>
          <w:tcPr>
            <w:tcW w:type="dxa" w:w="6200"/>
            <w:tcMar>
              <w:top w:type="dxa" w:w="60"/>
              <w:left w:type="dxa" w:w="100"/>
              <w:bottom w:type="dxa" w:w="60"/>
              <w:right w:type="dxa" w:w="100"/>
            </w:tcMar>
            <w:vAlign w:val="center"/>
          </w:tcPr>
          <w:p>
            <w:pPr>
              <w:jc w:val="left"/>
            </w:pPr>
            <w:r>
              <w:rPr>
                <w:b w:val="false"/>
                <w:bCs w:val="false"/>
                <w:sz w:val="18"/>
                <w:szCs w:val="18"/>
              </w:rPr>
              <w:t xml:space="preserve">PostgreSQL connection string (Prisma)</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JWT_SECRET / JWT_REFRESH_SECRET</w:t>
            </w:r>
          </w:p>
        </w:tc>
        <w:tc>
          <w:tcPr>
            <w:tcW w:type="dxa" w:w="6200"/>
            <w:shd w:fill="F9FAFB" w:val="clear"/>
            <w:tcMar>
              <w:top w:type="dxa" w:w="60"/>
              <w:left w:type="dxa" w:w="100"/>
              <w:bottom w:type="dxa" w:w="60"/>
              <w:right w:type="dxa" w:w="100"/>
            </w:tcMar>
            <w:vAlign w:val="center"/>
          </w:tcPr>
          <w:p>
            <w:pPr>
              <w:jc w:val="left"/>
            </w:pPr>
            <w:r>
              <w:rPr>
                <w:b w:val="false"/>
                <w:bCs w:val="false"/>
                <w:sz w:val="18"/>
                <w:szCs w:val="18"/>
              </w:rPr>
              <w:t xml:space="preserve">Signing secrets for access/refresh tokens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JWT_EXPIRES_IN / JWT_REFRESH_EXPIRES_IN</w:t>
            </w:r>
          </w:p>
        </w:tc>
        <w:tc>
          <w:tcPr>
            <w:tcW w:type="dxa" w:w="6200"/>
            <w:tcMar>
              <w:top w:type="dxa" w:w="60"/>
              <w:left w:type="dxa" w:w="100"/>
              <w:bottom w:type="dxa" w:w="60"/>
              <w:right w:type="dxa" w:w="100"/>
            </w:tcMar>
            <w:vAlign w:val="center"/>
          </w:tcPr>
          <w:p>
            <w:pPr>
              <w:jc w:val="left"/>
            </w:pPr>
            <w:r>
              <w:rPr>
                <w:b w:val="false"/>
                <w:bCs w:val="false"/>
                <w:sz w:val="18"/>
                <w:szCs w:val="18"/>
              </w:rPr>
              <w:t xml:space="preserve">Token lifetimes (defaults 15m / 7d)</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CORS_ORIGIN</w:t>
            </w:r>
          </w:p>
        </w:tc>
        <w:tc>
          <w:tcPr>
            <w:tcW w:type="dxa" w:w="6200"/>
            <w:shd w:fill="F9FAFB" w:val="clear"/>
            <w:tcMar>
              <w:top w:type="dxa" w:w="60"/>
              <w:left w:type="dxa" w:w="100"/>
              <w:bottom w:type="dxa" w:w="60"/>
              <w:right w:type="dxa" w:w="100"/>
            </w:tcMar>
            <w:vAlign w:val="center"/>
          </w:tcPr>
          <w:p>
            <w:pPr>
              <w:jc w:val="left"/>
            </w:pPr>
            <w:r>
              <w:rPr>
                <w:b w:val="false"/>
                <w:bCs w:val="false"/>
                <w:sz w:val="18"/>
                <w:szCs w:val="18"/>
              </w:rPr>
              <w:t xml:space="preserve">Allowed frontend origin for CORS</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FRONTEND_URL</w:t>
            </w:r>
          </w:p>
        </w:tc>
        <w:tc>
          <w:tcPr>
            <w:tcW w:type="dxa" w:w="6200"/>
            <w:tcMar>
              <w:top w:type="dxa" w:w="60"/>
              <w:left w:type="dxa" w:w="100"/>
              <w:bottom w:type="dxa" w:w="60"/>
              <w:right w:type="dxa" w:w="100"/>
            </w:tcMar>
            <w:vAlign w:val="center"/>
          </w:tcPr>
          <w:p>
            <w:pPr>
              <w:jc w:val="left"/>
            </w:pPr>
            <w:r>
              <w:rPr>
                <w:b w:val="false"/>
                <w:bCs w:val="false"/>
                <w:sz w:val="18"/>
                <w:szCs w:val="18"/>
              </w:rPr>
              <w:t xml:space="preserve">Base URL used to build email links (invites, CSAT, portal magic links)</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SMTP_HOST / SMTP_PORT / SMTP_USER / SMTP_PASS / SMTP_FROM</w:t>
            </w:r>
          </w:p>
        </w:tc>
        <w:tc>
          <w:tcPr>
            <w:tcW w:type="dxa" w:w="6200"/>
            <w:shd w:fill="F9FAFB" w:val="clear"/>
            <w:tcMar>
              <w:top w:type="dxa" w:w="60"/>
              <w:left w:type="dxa" w:w="100"/>
              <w:bottom w:type="dxa" w:w="60"/>
              <w:right w:type="dxa" w:w="100"/>
            </w:tcMar>
            <w:vAlign w:val="center"/>
          </w:tcPr>
          <w:p>
            <w:pPr>
              <w:jc w:val="left"/>
            </w:pPr>
            <w:r>
              <w:rPr>
                <w:b w:val="false"/>
                <w:bCs w:val="false"/>
                <w:sz w:val="18"/>
                <w:szCs w:val="18"/>
              </w:rPr>
              <w:t xml:space="preserve">Transactional email delivery (invites, notifications, CSAT)</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GROQ_API_KEY</w:t>
            </w:r>
          </w:p>
        </w:tc>
        <w:tc>
          <w:tcPr>
            <w:tcW w:type="dxa" w:w="6200"/>
            <w:tcMar>
              <w:top w:type="dxa" w:w="60"/>
              <w:left w:type="dxa" w:w="100"/>
              <w:bottom w:type="dxa" w:w="60"/>
              <w:right w:type="dxa" w:w="100"/>
            </w:tcMar>
            <w:vAlign w:val="center"/>
          </w:tcPr>
          <w:p>
            <w:pPr>
              <w:jc w:val="left"/>
            </w:pPr>
            <w:r>
              <w:rPr>
                <w:b w:val="false"/>
                <w:bCs w:val="false"/>
                <w:sz w:val="18"/>
                <w:szCs w:val="18"/>
              </w:rPr>
              <w:t xml:space="preserve">Primary AI provider (Groq, OpenAI-compatible)</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OPENAI_API_KEY</w:t>
            </w:r>
          </w:p>
        </w:tc>
        <w:tc>
          <w:tcPr>
            <w:tcW w:type="dxa" w:w="6200"/>
            <w:shd w:fill="F9FAFB" w:val="clear"/>
            <w:tcMar>
              <w:top w:type="dxa" w:w="60"/>
              <w:left w:type="dxa" w:w="100"/>
              <w:bottom w:type="dxa" w:w="60"/>
              <w:right w:type="dxa" w:w="100"/>
            </w:tcMar>
            <w:vAlign w:val="center"/>
          </w:tcPr>
          <w:p>
            <w:pPr>
              <w:jc w:val="left"/>
            </w:pPr>
            <w:r>
              <w:rPr>
                <w:b w:val="false"/>
                <w:bCs w:val="false"/>
                <w:sz w:val="18"/>
                <w:szCs w:val="18"/>
              </w:rPr>
              <w:t xml:space="preserve">Fallback AI provider (OpenAI)</w:t>
            </w:r>
          </w:p>
        </w:tc>
      </w:tr>
      <w:tr>
        <w:tc>
          <w:tcPr>
            <w:tcW w:type="dxa" w:w="3400"/>
            <w:tcMar>
              <w:top w:type="dxa" w:w="60"/>
              <w:left w:type="dxa" w:w="100"/>
              <w:bottom w:type="dxa" w:w="60"/>
              <w:right w:type="dxa" w:w="100"/>
            </w:tcMar>
            <w:vAlign w:val="center"/>
          </w:tcPr>
          <w:p>
            <w:pPr>
              <w:jc w:val="left"/>
            </w:pPr>
            <w:r>
              <w:rPr>
                <w:b w:val="false"/>
                <w:bCs w:val="false"/>
                <w:sz w:val="18"/>
                <w:szCs w:val="18"/>
              </w:rPr>
              <w:t xml:space="preserve">STRIPE_*</w:t>
            </w:r>
          </w:p>
        </w:tc>
        <w:tc>
          <w:tcPr>
            <w:tcW w:type="dxa" w:w="6200"/>
            <w:tcMar>
              <w:top w:type="dxa" w:w="60"/>
              <w:left w:type="dxa" w:w="100"/>
              <w:bottom w:type="dxa" w:w="60"/>
              <w:right w:type="dxa" w:w="100"/>
            </w:tcMar>
            <w:vAlign w:val="center"/>
          </w:tcPr>
          <w:p>
            <w:pPr>
              <w:jc w:val="left"/>
            </w:pPr>
            <w:r>
              <w:rPr>
                <w:b w:val="false"/>
                <w:bCs w:val="false"/>
                <w:sz w:val="18"/>
                <w:szCs w:val="18"/>
              </w:rPr>
              <w:t xml:space="preserve">Stripe secret key, webhook signing secret, price IDs for Pro/Enterprise</w:t>
            </w:r>
          </w:p>
        </w:tc>
      </w:tr>
      <w:tr>
        <w:tc>
          <w:tcPr>
            <w:tcW w:type="dxa" w:w="3400"/>
            <w:shd w:fill="F9FAFB" w:val="clear"/>
            <w:tcMar>
              <w:top w:type="dxa" w:w="60"/>
              <w:left w:type="dxa" w:w="100"/>
              <w:bottom w:type="dxa" w:w="60"/>
              <w:right w:type="dxa" w:w="100"/>
            </w:tcMar>
            <w:vAlign w:val="center"/>
          </w:tcPr>
          <w:p>
            <w:pPr>
              <w:jc w:val="left"/>
            </w:pPr>
            <w:r>
              <w:rPr>
                <w:b w:val="false"/>
                <w:bCs w:val="false"/>
                <w:sz w:val="18"/>
                <w:szCs w:val="18"/>
              </w:rPr>
              <w:t xml:space="preserve">NODE_ENV</w:t>
            </w:r>
          </w:p>
        </w:tc>
        <w:tc>
          <w:tcPr>
            <w:tcW w:type="dxa" w:w="6200"/>
            <w:shd w:fill="F9FAFB" w:val="clear"/>
            <w:tcMar>
              <w:top w:type="dxa" w:w="60"/>
              <w:left w:type="dxa" w:w="100"/>
              <w:bottom w:type="dxa" w:w="60"/>
              <w:right w:type="dxa" w:w="100"/>
            </w:tcMar>
            <w:vAlign w:val="center"/>
          </w:tcPr>
          <w:p>
            <w:pPr>
              <w:jc w:val="left"/>
            </w:pPr>
            <w:r>
              <w:rPr>
                <w:b w:val="false"/>
                <w:bCs w:val="false"/>
                <w:sz w:val="18"/>
                <w:szCs w:val="18"/>
              </w:rPr>
              <w:t xml:space="preserve">Enables production-only behaviors: rate limiting, etc.</w:t>
            </w:r>
          </w:p>
        </w:tc>
      </w:tr>
    </w:tbl>
    <w:p>
      <w:pPr>
        <w:pStyle w:val="Heading1"/>
        <w:pBdr>
          <w:bottom w:val="single" w:color="2563EB" w:sz="12" w:space="4"/>
        </w:pBdr>
        <w:spacing w:after="240" w:before="480"/>
      </w:pPr>
      <w:r>
        <w:rPr>
          <w:b/>
          <w:bCs/>
          <w:color w:val="1F2937"/>
          <w:sz w:val="32"/>
          <w:szCs w:val="32"/>
        </w:rPr>
        <w:t xml:space="preserve">Appendix B: End-to-End Test Coverage</w:t>
      </w:r>
    </w:p>
    <w:p>
      <w:pPr>
        <w:spacing w:after="160" w:line="288"/>
      </w:pPr>
      <w:r>
        <w:rPr>
          <w:sz w:val="21"/>
          <w:szCs w:val="21"/>
        </w:rPr>
        <w:t xml:space="preserve">The tests/e2e/ directory contains roughly 50 Playwright spec files, one per feature area, giving a useful cross-check of which surfaces are considered product-complete enough to warrant automated coverage: authentication, 2FA, refresh tokens, RBAC (both API and UI/sidebar visibility), multitenancy isolation, contacts, leads, deals, quotes, campaigns, tickets, categories, custom fields, knowledge base, assets, change requests, time tracking, CSAT, inbox, Slack, MS Teams, workflows, the AI feature builder and AI-enhanced features, analytics, reports, dashboard, audit log, API keys, billing, branding, bulk import, user management, profile, theme picker, navigation, pagination, search, security, and error handling.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CRMITdesk Evolved — Technical Documentation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2026-07-23T14:00:57.015Z</dcterms:created>
  <dcterms:modified xsi:type="dcterms:W3CDTF">2026-07-23T14:00:57.016Z</dcterms:modified>
</cp:coreProperties>
</file>

<file path=docProps/custom.xml><?xml version="1.0" encoding="utf-8"?>
<Properties xmlns="http://schemas.openxmlformats.org/officeDocument/2006/custom-properties" xmlns:vt="http://schemas.openxmlformats.org/officeDocument/2006/docPropsVTypes"/>
</file>