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Project Design Phase</w:t>
      </w:r>
    </w:p>
    <w:p>
      <w:pPr>
        <w:pStyle w:val="Heading2"/>
        <w:jc w:val="center"/>
      </w:pPr>
      <w:r>
        <w:t>Solution Architecture</w:t>
      </w:r>
    </w:p>
    <w:tbl>
      <w:tblPr>
        <w:tblStyle w:val="TableGrid"/>
        <w:tblW w:type="auto" w:w="0"/>
        <w:tblLook w:firstColumn="1" w:firstRow="1" w:lastColumn="0" w:lastRow="0" w:noHBand="0" w:noVBand="1" w:val="04A0"/>
      </w:tblPr>
      <w:tblGrid>
        <w:gridCol w:w="4320"/>
        <w:gridCol w:w="4320"/>
      </w:tblGrid>
      <w:tr>
        <w:tc>
          <w:tcPr>
            <w:tcW w:type="dxa" w:w="4320"/>
          </w:tcPr>
          <w:p>
            <w:r>
              <w:t>Date</w:t>
            </w:r>
          </w:p>
        </w:tc>
        <w:tc>
          <w:tcPr>
            <w:tcW w:type="dxa" w:w="4320"/>
          </w:tcPr>
          <w:p>
            <w:r>
              <w:t>09 July 2026</w:t>
            </w:r>
          </w:p>
        </w:tc>
      </w:tr>
      <w:tr>
        <w:tc>
          <w:tcPr>
            <w:tcW w:type="dxa" w:w="4320"/>
          </w:tcPr>
          <w:p>
            <w:r>
              <w:t>Team ID</w:t>
            </w:r>
          </w:p>
        </w:tc>
        <w:tc>
          <w:tcPr>
            <w:tcW w:type="dxa" w:w="4320"/>
          </w:tcPr>
          <w:p>
            <w:r>
              <w:t>SWTID-2026-3267</w:t>
            </w:r>
          </w:p>
        </w:tc>
      </w:tr>
      <w:tr>
        <w:tc>
          <w:tcPr>
            <w:tcW w:type="dxa" w:w="4320"/>
          </w:tcPr>
          <w:p>
            <w:r>
              <w:t>Project Name</w:t>
            </w:r>
          </w:p>
        </w:tc>
        <w:tc>
          <w:tcPr>
            <w:tcW w:type="dxa" w:w="4320"/>
          </w:tcPr>
          <w:p>
            <w:r>
              <w:t>SB Stocks</w:t>
            </w:r>
          </w:p>
        </w:tc>
      </w:tr>
      <w:tr>
        <w:tc>
          <w:tcPr>
            <w:tcW w:type="dxa" w:w="4320"/>
          </w:tcPr>
          <w:p>
            <w:r>
              <w:t>Maximum Marks</w:t>
            </w:r>
          </w:p>
        </w:tc>
        <w:tc>
          <w:tcPr>
            <w:tcW w:type="dxa" w:w="4320"/>
          </w:tcPr>
          <w:p>
            <w:r>
              <w:t>4 Marks</w:t>
            </w:r>
          </w:p>
        </w:tc>
      </w:tr>
    </w:tbl>
    <w:p>
      <w:pPr>
        <w:pStyle w:val="Heading2"/>
      </w:pPr>
      <w:r>
        <w:t>Solution Architecture</w:t>
      </w:r>
    </w:p>
    <w:p>
      <w:r>
        <w:t>SB Stocks is designed using a four-tier MERN architecture. The React frontend communicates with Express REST APIs secured using JWT. The business layer performs paper trading, portfolio management, watchlist management and live market simulation. MongoDB stores users, stocks, portfolios, transactions and watchlists for scalable data persistence.</w:t>
      </w:r>
    </w:p>
    <w:p>
      <w:pPr>
        <w:pStyle w:val="Heading2"/>
      </w:pPr>
      <w:r>
        <w:t>Architecture Diagram</w:t>
      </w:r>
    </w:p>
    <w:p>
      <w:r>
        <w:drawing>
          <wp:inline xmlns:a="http://schemas.openxmlformats.org/drawingml/2006/main" xmlns:pic="http://schemas.openxmlformats.org/drawingml/2006/picture">
            <wp:extent cx="5943600" cy="3962400"/>
            <wp:docPr id="1" name="Picture 1"/>
            <wp:cNvGraphicFramePr>
              <a:graphicFrameLocks noChangeAspect="1"/>
            </wp:cNvGraphicFramePr>
            <a:graphic>
              <a:graphicData uri="http://schemas.openxmlformats.org/drawingml/2006/picture">
                <pic:pic>
                  <pic:nvPicPr>
                    <pic:cNvPr id="0" name="a_clean_technical_architecture_diagram_infographic.png"/>
                    <pic:cNvPicPr/>
                  </pic:nvPicPr>
                  <pic:blipFill>
                    <a:blip r:embed="rId9"/>
                    <a:stretch>
                      <a:fillRect/>
                    </a:stretch>
                  </pic:blipFill>
                  <pic:spPr>
                    <a:xfrm>
                      <a:off x="0" y="0"/>
                      <a:ext cx="5943600" cy="3962400"/>
                    </a:xfrm>
                    <a:prstGeom prst="rect"/>
                  </pic:spPr>
                </pic:pic>
              </a:graphicData>
            </a:graphic>
          </wp:inline>
        </w:drawing>
      </w:r>
    </w:p>
    <w:p>
      <w:pPr>
        <w:jc w:val="center"/>
      </w:pPr>
      <w:r>
        <w:t>Figure 1: SB Stocks Solution Architecture</w:t>
      </w:r>
    </w:p>
    <w:p>
      <w:pPr>
        <w:pStyle w:val="Heading2"/>
      </w:pPr>
      <w:r>
        <w:t>Architecture Description</w:t>
      </w:r>
    </w:p>
    <w:p>
      <w:pPr>
        <w:pStyle w:val="ListBullet"/>
      </w:pPr>
      <w:r>
        <w:t>Presentation Tier: React dashboard, admin console and Recharts visualizations.</w:t>
      </w:r>
    </w:p>
    <w:p>
      <w:pPr>
        <w:pStyle w:val="ListBullet"/>
      </w:pPr>
      <w:r>
        <w:t>Security Tier: Helmet, CORS, API rate limiting and JWT role-based authentication.</w:t>
      </w:r>
    </w:p>
    <w:p>
      <w:pPr>
        <w:pStyle w:val="ListBullet"/>
      </w:pPr>
      <w:r>
        <w:t>Core Application Tier: Express controllers, paper trading engine and market simulation.</w:t>
      </w:r>
    </w:p>
    <w:p>
      <w:pPr>
        <w:pStyle w:val="ListBullet"/>
      </w:pPr>
      <w:r>
        <w:t>Data Tier: MongoDB collections for users, stocks, portfolios, transactions and watchlists.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