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Gruppupg 15/4</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Gå ut och prata med de som jobbar i säkerhetsbranschen men även de som påverkas eller involveras av säkerhet. Alltså till intervjun.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Vi ska träffa folk, vanlig teknik.. för att se hur säkerhet påverkar dom.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Ut och prata med folk, se verkligheten.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40tim per gruppmedlem på gruppupg.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Distans Intervju pga corona.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Göra en rapport som inte ska lämnas in, den är till för att bygga ngt i ens profolio som kan presenteras i senare skede i en arbetsintervju.</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Intervjua någon verksamhet som har något med säkerhet att göra, en lite större verksamhet.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Försök täcka 3 områden i verksamheten. Säkerhets uppmärksamhet, säkerhetsutbildning osv. Alltså inom intervjun.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Var beredd på att ställa följdfrågor.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3-12 sidor i rapporten är bra = tidigare har 75% av elever haft rapport mellan 5-10 sidor.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Muntlig examination, Varje grupp har ENDAST 5 min att prata sen bryts det. Går det ut över tiden så får gruppen U.</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 frågor som kmr under muntliga examinationen är vad du tyckte, frågor som handlar om vart intervjun togs, hur såg rummet ut, vem pratade du med osv.  Det kommer inte ställas frågor som typ  boken. De ställer endast frågor som en person som har varit involverad i allt ska lätt kunna svara på.</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Direkt efter muntliga examinationen får vi veta betyget om vi är godkända eller inte. Viktigt att ha med allas personnr på alla inlämnade papper.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Vi måste lämna in presentationspapper innan redovisningen, alltså innan deadline.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HEMTENTAMEN kräver ingen kamera eller zoom! utan bara ladda ner dokumentet, svara och skicka 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