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olor w:val="1F3864"/>
          <w:sz w:val="36"/>
          <w:szCs w:val="36"/>
        </w:rPr>
        <w:t xml:space="preserve">EXECUTIVE SUMMARY</w:t>
      </w:r>
    </w:p>
    <w:p>
      <w:pPr>
        <w:pBdr>
          <w:bottom w:val="single" w:color="1F3864" w:sz="12" w:space="4"/>
        </w:pBdr>
        <w:spacing w:after="0" w:before="0"/>
      </w:pPr>
    </w:p>
    <w:p>
      <w:pPr>
        <w:spacing w:after="180" w:before="55"/>
      </w:pPr>
      <w:r>
        <w:rPr>
          <w:rFonts w:ascii="Calibri" w:cs="Calibri" w:eastAsia="Calibri" w:hAnsi="Calibri"/>
          <w:color w:val="555555"/>
          <w:sz w:val="19"/>
          <w:szCs w:val="19"/>
        </w:rPr>
        <w:t xml:space="preserve">Olist E-Commerce Growth Diagnostic</w:t>
      </w:r>
      <w:r>
        <w:rPr>
          <w:rFonts w:ascii="Calibri" w:cs="Calibri" w:eastAsia="Calibri" w:hAnsi="Calibri"/>
          <w:color w:val="CCCCCC"/>
          <w:sz w:val="19"/>
          <w:szCs w:val="19"/>
        </w:rPr>
        <w:t xml:space="preserve">   |   </w:t>
      </w:r>
      <w:r>
        <w:rPr>
          <w:rFonts w:ascii="Calibri" w:cs="Calibri" w:eastAsia="Calibri" w:hAnsi="Calibri"/>
          <w:color w:val="555555"/>
          <w:sz w:val="19"/>
          <w:szCs w:val="19"/>
        </w:rPr>
        <w:t xml:space="preserve">96,478 delivered orders   |   2016 to 2018</w:t>
      </w:r>
      <w:r>
        <w:rPr>
          <w:rFonts w:ascii="Calibri" w:cs="Calibri" w:eastAsia="Calibri" w:hAnsi="Calibri"/>
          <w:color w:val="CCCCCC"/>
          <w:sz w:val="19"/>
          <w:szCs w:val="19"/>
        </w:rPr>
        <w:t xml:space="preserve">   |   </w:t>
      </w:r>
      <w:r>
        <w:rPr>
          <w:rFonts w:ascii="Calibri" w:cs="Calibri" w:eastAsia="Calibri" w:hAnsi="Calibri"/>
          <w:color w:val="555555"/>
          <w:sz w:val="19"/>
          <w:szCs w:val="19"/>
        </w:rPr>
        <w:t xml:space="preserve">SQL, Python, Excel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F3864" w:val="clear"/>
            <w:tcMar>
              <w:top w:type="dxa" w:w="80"/>
              <w:left w:type="dxa" w:w="130"/>
              <w:bottom w:type="dxa" w:w="80"/>
              <w:right w:type="dxa" w:w="130"/>
            </w:tcMar>
            <w:vAlign w:val="center"/>
          </w:tcPr>
          <w:p>
            <w:pPr>
              <w:jc w:val="center"/>
            </w:pPr>
            <w:r>
              <w:rPr>
                <w:rFonts w:ascii="Calibri" w:cs="Calibri" w:eastAsia="Calibri" w:hAnsi="Calibri"/>
                <w:b/>
                <w:bCs/>
                <w:i w:val="false"/>
                <w:iCs w:val="false"/>
                <w:color w:val="FFFFFF"/>
                <w:sz w:val="24"/>
                <w:szCs w:val="24"/>
              </w:rPr>
              <w:t xml:space="preserve">R$15.4M</w:t>
            </w:r>
          </w:p>
        </w:tc>
        <w:tc>
          <w:tcPr>
            <w:tcW w:type="dxa" w:w="2340"/>
            <w:tcBorders>
              <w:top w:val="single" w:color="DDDDDD" w:sz="1"/>
              <w:left w:val="single" w:color="DDDDDD" w:sz="1"/>
              <w:bottom w:val="single" w:color="DDDDDD" w:sz="1"/>
              <w:right w:val="single" w:color="DDDDDD" w:sz="1"/>
            </w:tcBorders>
            <w:shd w:fill="1A5276" w:val="clear"/>
            <w:tcMar>
              <w:top w:type="dxa" w:w="80"/>
              <w:left w:type="dxa" w:w="130"/>
              <w:bottom w:type="dxa" w:w="80"/>
              <w:right w:type="dxa" w:w="130"/>
            </w:tcMar>
            <w:vAlign w:val="center"/>
          </w:tcPr>
          <w:p>
            <w:pPr>
              <w:jc w:val="center"/>
            </w:pPr>
            <w:r>
              <w:rPr>
                <w:rFonts w:ascii="Calibri" w:cs="Calibri" w:eastAsia="Calibri" w:hAnsi="Calibri"/>
                <w:b/>
                <w:bCs/>
                <w:i w:val="false"/>
                <w:iCs w:val="false"/>
                <w:color w:val="FFFFFF"/>
                <w:sz w:val="24"/>
                <w:szCs w:val="24"/>
              </w:rPr>
              <w:t xml:space="preserve">96,478</w:t>
            </w:r>
          </w:p>
        </w:tc>
        <w:tc>
          <w:tcPr>
            <w:tcW w:type="dxa" w:w="2340"/>
            <w:tcBorders>
              <w:top w:val="single" w:color="DDDDDD" w:sz="1"/>
              <w:left w:val="single" w:color="DDDDDD" w:sz="1"/>
              <w:bottom w:val="single" w:color="DDDDDD" w:sz="1"/>
              <w:right w:val="single" w:color="DDDDDD" w:sz="1"/>
            </w:tcBorders>
            <w:shd w:fill="1F618D" w:val="clear"/>
            <w:tcMar>
              <w:top w:type="dxa" w:w="80"/>
              <w:left w:type="dxa" w:w="130"/>
              <w:bottom w:type="dxa" w:w="80"/>
              <w:right w:type="dxa" w:w="130"/>
            </w:tcMar>
            <w:vAlign w:val="center"/>
          </w:tcPr>
          <w:p>
            <w:pPr>
              <w:jc w:val="center"/>
            </w:pPr>
            <w:r>
              <w:rPr>
                <w:rFonts w:ascii="Calibri" w:cs="Calibri" w:eastAsia="Calibri" w:hAnsi="Calibri"/>
                <w:b/>
                <w:bCs/>
                <w:i w:val="false"/>
                <w:iCs w:val="false"/>
                <w:color w:val="FFFFFF"/>
                <w:sz w:val="24"/>
                <w:szCs w:val="24"/>
              </w:rPr>
              <w:t xml:space="preserve">93,358</w:t>
            </w:r>
          </w:p>
        </w:tc>
        <w:tc>
          <w:tcPr>
            <w:tcW w:type="dxa" w:w="2340"/>
            <w:tcBorders>
              <w:top w:val="single" w:color="DDDDDD" w:sz="1"/>
              <w:left w:val="single" w:color="DDDDDD" w:sz="1"/>
              <w:bottom w:val="single" w:color="DDDDDD" w:sz="1"/>
              <w:right w:val="single" w:color="DDDDDD" w:sz="1"/>
            </w:tcBorders>
            <w:shd w:fill="C00000" w:val="clear"/>
            <w:tcMar>
              <w:top w:type="dxa" w:w="80"/>
              <w:left w:type="dxa" w:w="130"/>
              <w:bottom w:type="dxa" w:w="80"/>
              <w:right w:type="dxa" w:w="130"/>
            </w:tcMar>
            <w:vAlign w:val="center"/>
          </w:tcPr>
          <w:p>
            <w:pPr>
              <w:jc w:val="center"/>
            </w:pPr>
            <w:r>
              <w:rPr>
                <w:rFonts w:ascii="Calibri" w:cs="Calibri" w:eastAsia="Calibri" w:hAnsi="Calibri"/>
                <w:b/>
                <w:bCs/>
                <w:i w:val="false"/>
                <w:iCs w:val="false"/>
                <w:color w:val="FFFFFF"/>
                <w:sz w:val="24"/>
                <w:szCs w:val="24"/>
              </w:rPr>
              <w:t xml:space="preserve">3.0%</w:t>
            </w:r>
          </w:p>
        </w:tc>
      </w:tr>
      <w:tr>
        <w:tc>
          <w:tcPr>
            <w:tcW w:type="dxa" w:w="2340"/>
            <w:tcBorders>
              <w:top w:val="single" w:color="DDDDDD" w:sz="1"/>
              <w:left w:val="single" w:color="DDDDDD" w:sz="1"/>
              <w:bottom w:val="single" w:color="DDDDDD" w:sz="1"/>
              <w:right w:val="single" w:color="DDDDDD" w:sz="1"/>
            </w:tcBorders>
            <w:shd w:fill="EAF0F6" w:val="clear"/>
            <w:tcMar>
              <w:top w:type="dxa" w:w="80"/>
              <w:left w:type="dxa" w:w="130"/>
              <w:bottom w:type="dxa" w:w="80"/>
              <w:right w:type="dxa" w:w="130"/>
            </w:tcMar>
            <w:vAlign w:val="center"/>
          </w:tcPr>
          <w:p>
            <w:pPr>
              <w:jc w:val="center"/>
            </w:pPr>
            <w:r>
              <w:rPr>
                <w:rFonts w:ascii="Calibri" w:cs="Calibri" w:eastAsia="Calibri" w:hAnsi="Calibri"/>
                <w:b w:val="false"/>
                <w:bCs w:val="false"/>
                <w:i w:val="false"/>
                <w:iCs w:val="false"/>
                <w:color w:val="555555"/>
                <w:sz w:val="17"/>
                <w:szCs w:val="17"/>
              </w:rPr>
              <w:t xml:space="preserve">Total Revenue</w:t>
            </w:r>
          </w:p>
        </w:tc>
        <w:tc>
          <w:tcPr>
            <w:tcW w:type="dxa" w:w="2340"/>
            <w:tcBorders>
              <w:top w:val="single" w:color="DDDDDD" w:sz="1"/>
              <w:left w:val="single" w:color="DDDDDD" w:sz="1"/>
              <w:bottom w:val="single" w:color="DDDDDD" w:sz="1"/>
              <w:right w:val="single" w:color="DDDDDD" w:sz="1"/>
            </w:tcBorders>
            <w:shd w:fill="EAF0F6" w:val="clear"/>
            <w:tcMar>
              <w:top w:type="dxa" w:w="80"/>
              <w:left w:type="dxa" w:w="130"/>
              <w:bottom w:type="dxa" w:w="80"/>
              <w:right w:type="dxa" w:w="130"/>
            </w:tcMar>
            <w:vAlign w:val="center"/>
          </w:tcPr>
          <w:p>
            <w:pPr>
              <w:jc w:val="center"/>
            </w:pPr>
            <w:r>
              <w:rPr>
                <w:rFonts w:ascii="Calibri" w:cs="Calibri" w:eastAsia="Calibri" w:hAnsi="Calibri"/>
                <w:b w:val="false"/>
                <w:bCs w:val="false"/>
                <w:i w:val="false"/>
                <w:iCs w:val="false"/>
                <w:color w:val="555555"/>
                <w:sz w:val="17"/>
                <w:szCs w:val="17"/>
              </w:rPr>
              <w:t xml:space="preserve">Orders Delivered</w:t>
            </w:r>
          </w:p>
        </w:tc>
        <w:tc>
          <w:tcPr>
            <w:tcW w:type="dxa" w:w="2340"/>
            <w:tcBorders>
              <w:top w:val="single" w:color="DDDDDD" w:sz="1"/>
              <w:left w:val="single" w:color="DDDDDD" w:sz="1"/>
              <w:bottom w:val="single" w:color="DDDDDD" w:sz="1"/>
              <w:right w:val="single" w:color="DDDDDD" w:sz="1"/>
            </w:tcBorders>
            <w:shd w:fill="EAF0F6" w:val="clear"/>
            <w:tcMar>
              <w:top w:type="dxa" w:w="80"/>
              <w:left w:type="dxa" w:w="130"/>
              <w:bottom w:type="dxa" w:w="80"/>
              <w:right w:type="dxa" w:w="130"/>
            </w:tcMar>
            <w:vAlign w:val="center"/>
          </w:tcPr>
          <w:p>
            <w:pPr>
              <w:jc w:val="center"/>
            </w:pPr>
            <w:r>
              <w:rPr>
                <w:rFonts w:ascii="Calibri" w:cs="Calibri" w:eastAsia="Calibri" w:hAnsi="Calibri"/>
                <w:b w:val="false"/>
                <w:bCs w:val="false"/>
                <w:i w:val="false"/>
                <w:iCs w:val="false"/>
                <w:color w:val="555555"/>
                <w:sz w:val="17"/>
                <w:szCs w:val="17"/>
              </w:rPr>
              <w:t xml:space="preserve">Unique Customers</w:t>
            </w:r>
          </w:p>
        </w:tc>
        <w:tc>
          <w:tcPr>
            <w:tcW w:type="dxa" w:w="2340"/>
            <w:tcBorders>
              <w:top w:val="single" w:color="DDDDDD" w:sz="1"/>
              <w:left w:val="single" w:color="DDDDDD" w:sz="1"/>
              <w:bottom w:val="single" w:color="DDDDDD" w:sz="1"/>
              <w:right w:val="single" w:color="DDDDDD" w:sz="1"/>
            </w:tcBorders>
            <w:shd w:fill="EAF0F6" w:val="clear"/>
            <w:tcMar>
              <w:top w:type="dxa" w:w="80"/>
              <w:left w:type="dxa" w:w="130"/>
              <w:bottom w:type="dxa" w:w="80"/>
              <w:right w:type="dxa" w:w="130"/>
            </w:tcMar>
            <w:vAlign w:val="center"/>
          </w:tcPr>
          <w:p>
            <w:pPr>
              <w:jc w:val="center"/>
            </w:pPr>
            <w:r>
              <w:rPr>
                <w:rFonts w:ascii="Calibri" w:cs="Calibri" w:eastAsia="Calibri" w:hAnsi="Calibri"/>
                <w:b w:val="false"/>
                <w:bCs w:val="false"/>
                <w:i w:val="false"/>
                <w:iCs w:val="false"/>
                <w:color w:val="555555"/>
                <w:sz w:val="17"/>
                <w:szCs w:val="17"/>
              </w:rPr>
              <w:t xml:space="preserve">Repeat Purchase Rate</w:t>
            </w:r>
          </w:p>
        </w:tc>
      </w:tr>
    </w:tbl>
    <w:p>
      <w:pPr>
        <w:spacing w:after="60" w:before="60"/>
      </w:pPr>
    </w:p>
    <w:p>
      <w:pPr>
        <w:pBdr>
          <w:bottom w:val="single" w:color="1F3864" w:sz="6" w:space="4"/>
        </w:pBdr>
        <w:spacing w:after="70" w:before="280"/>
      </w:pPr>
      <w:r>
        <w:rPr>
          <w:rFonts w:ascii="Calibri" w:cs="Calibri" w:eastAsia="Calibri" w:hAnsi="Calibri"/>
          <w:b/>
          <w:bCs/>
          <w:color w:val="1F3864"/>
          <w:sz w:val="26"/>
          <w:szCs w:val="26"/>
        </w:rPr>
        <w:t xml:space="preserve">Situation</w:t>
      </w:r>
    </w:p>
    <w:p>
      <w:pPr>
        <w:spacing w:after="75" w:before="75"/>
        <w:jc w:val="left"/>
      </w:pPr>
      <w:r>
        <w:rPr>
          <w:rFonts w:ascii="Calibri" w:cs="Calibri" w:eastAsia="Calibri" w:hAnsi="Calibri"/>
          <w:b w:val="false"/>
          <w:bCs w:val="false"/>
          <w:i w:val="false"/>
          <w:iCs w:val="false"/>
          <w:color w:val="1A1A1A"/>
          <w:sz w:val="20"/>
          <w:szCs w:val="20"/>
        </w:rPr>
        <w:t xml:space="preserve">Olist is a Brazilian e-commerce marketplace connecting small and medium businesses to major retail channels. This analysis covers 99,441 orders placed between 2016 and 2018, of which 96,478 were delivered. Revenue across the period totals R$15.4M across eight interconnected data tables. The brief was to diagnose what is holding the business back from accelerating growth and identify the highest-leverage areas for intervention.</w:t>
      </w:r>
    </w:p>
    <w:p>
      <w:pPr>
        <w:spacing w:after="60" w:before="60"/>
      </w:pPr>
    </w:p>
    <w:p>
      <w:pPr>
        <w:pBdr>
          <w:bottom w:val="single" w:color="1F3864" w:sz="6" w:space="4"/>
        </w:pBdr>
        <w:spacing w:after="70" w:before="280"/>
      </w:pPr>
      <w:r>
        <w:rPr>
          <w:rFonts w:ascii="Calibri" w:cs="Calibri" w:eastAsia="Calibri" w:hAnsi="Calibri"/>
          <w:b/>
          <w:bCs/>
          <w:color w:val="1F3864"/>
          <w:sz w:val="26"/>
          <w:szCs w:val="26"/>
        </w:rPr>
        <w:t xml:space="preserve">The Headline Finding</w:t>
      </w:r>
    </w:p>
    <w:p>
      <w:pPr>
        <w:spacing w:after="75" w:before="75"/>
        <w:jc w:val="left"/>
      </w:pPr>
      <w:r>
        <w:rPr>
          <w:rFonts w:ascii="Calibri" w:cs="Calibri" w:eastAsia="Calibri" w:hAnsi="Calibri"/>
          <w:b w:val="false"/>
          <w:bCs w:val="false"/>
          <w:i w:val="false"/>
          <w:iCs w:val="false"/>
          <w:color w:val="1A1A1A"/>
          <w:sz w:val="20"/>
          <w:szCs w:val="20"/>
        </w:rPr>
        <w:t xml:space="preserve">The business is running on a leaking bucket model. It acquires customers at scale but retains almost none of them. Only 3% of customers ever place a second order. That means 97 out of every 100 customers the business works to acquire, convert, and deliver to will never generate another rupee of revenue. Until that number changes, growth requires more and more acquisition spend just to stand still.</w:t>
      </w:r>
    </w:p>
    <w:p>
      <w:pPr>
        <w:spacing w:after="75" w:before="75"/>
        <w:jc w:val="left"/>
      </w:pPr>
      <w:r>
        <w:rPr>
          <w:rFonts w:ascii="Calibri" w:cs="Calibri" w:eastAsia="Calibri" w:hAnsi="Calibri"/>
          <w:b w:val="false"/>
          <w:bCs w:val="false"/>
          <w:i w:val="false"/>
          <w:iCs w:val="false"/>
          <w:color w:val="1A1A1A"/>
          <w:sz w:val="20"/>
          <w:szCs w:val="20"/>
        </w:rPr>
        <w:t xml:space="preserve">The data also shows a clear driver of this problem: delivery experience. Orders that arrive more than 3 days late receive an average review score of 1.85 out of 5. Orders that arrive early get 4.22. That 2.37-point gap is not a customer service issue. It is a retention issue with a direct revenue consequence.</w:t>
      </w:r>
    </w:p>
    <w:p>
      <w:pPr>
        <w:spacing w:after="60" w:before="60"/>
      </w:pPr>
    </w:p>
    <w:p>
      <w:pPr>
        <w:pBdr>
          <w:bottom w:val="single" w:color="1F3864" w:sz="6" w:space="4"/>
        </w:pBdr>
        <w:spacing w:after="70" w:before="280"/>
      </w:pPr>
      <w:r>
        <w:rPr>
          <w:rFonts w:ascii="Calibri" w:cs="Calibri" w:eastAsia="Calibri" w:hAnsi="Calibri"/>
          <w:b/>
          <w:bCs/>
          <w:color w:val="1F3864"/>
          <w:sz w:val="26"/>
          <w:szCs w:val="26"/>
        </w:rPr>
        <w:t xml:space="preserve">Key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4000"/>
        <w:gridCol w:w="4940"/>
      </w:tblGrid>
      <w:tr>
        <w:tc>
          <w:tcPr>
            <w:tcW w:type="dxa" w:w="420"/>
            <w:tcBorders>
              <w:top w:val="single" w:color="DDDDDD" w:sz="1"/>
              <w:left w:val="single" w:color="DDDDDD" w:sz="1"/>
              <w:bottom w:val="single" w:color="DDDDDD" w:sz="1"/>
              <w:right w:val="single" w:color="DDDDDD" w:sz="1"/>
            </w:tcBorders>
            <w:shd w:fill="1F3864" w:val="clear"/>
            <w:tcMar>
              <w:top w:type="dxa" w:w="80"/>
              <w:left w:type="dxa" w:w="130"/>
              <w:bottom w:type="dxa" w:w="80"/>
              <w:right w:type="dxa" w:w="130"/>
            </w:tcMar>
            <w:vAlign w:val="center"/>
          </w:tcPr>
          <w:p>
            <w:pPr>
              <w:jc w:val="center"/>
            </w:pPr>
            <w:r>
              <w:rPr>
                <w:rFonts w:ascii="Calibri" w:cs="Calibri" w:eastAsia="Calibri" w:hAnsi="Calibri"/>
                <w:b/>
                <w:bCs/>
                <w:i w:val="false"/>
                <w:iCs w:val="false"/>
                <w:color w:val="FFFFFF"/>
                <w:sz w:val="18"/>
                <w:szCs w:val="18"/>
              </w:rPr>
              <w:t xml:space="preserve">#</w:t>
            </w:r>
          </w:p>
        </w:tc>
        <w:tc>
          <w:tcPr>
            <w:tcW w:type="dxa" w:w="4000"/>
            <w:tcBorders>
              <w:top w:val="single" w:color="DDDDDD" w:sz="1"/>
              <w:left w:val="single" w:color="DDDDDD" w:sz="1"/>
              <w:bottom w:val="single" w:color="DDDDDD" w:sz="1"/>
              <w:right w:val="single" w:color="DDDDDD" w:sz="1"/>
            </w:tcBorders>
            <w:shd w:fill="1F3864" w:val="clear"/>
            <w:tcMar>
              <w:top w:type="dxa" w:w="80"/>
              <w:left w:type="dxa" w:w="130"/>
              <w:bottom w:type="dxa" w:w="80"/>
              <w:right w:type="dxa" w:w="130"/>
            </w:tcMar>
            <w:vAlign w:val="center"/>
          </w:tcPr>
          <w:p>
            <w:pPr>
              <w:jc w:val="left"/>
            </w:pPr>
            <w:r>
              <w:rPr>
                <w:rFonts w:ascii="Calibri" w:cs="Calibri" w:eastAsia="Calibri" w:hAnsi="Calibri"/>
                <w:b/>
                <w:bCs/>
                <w:i w:val="false"/>
                <w:iCs w:val="false"/>
                <w:color w:val="FFFFFF"/>
                <w:sz w:val="18"/>
                <w:szCs w:val="18"/>
              </w:rPr>
              <w:t xml:space="preserve">Finding</w:t>
            </w:r>
          </w:p>
        </w:tc>
        <w:tc>
          <w:tcPr>
            <w:tcW w:type="dxa" w:w="4940"/>
            <w:tcBorders>
              <w:top w:val="single" w:color="DDDDDD" w:sz="1"/>
              <w:left w:val="single" w:color="DDDDDD" w:sz="1"/>
              <w:bottom w:val="single" w:color="DDDDDD" w:sz="1"/>
              <w:right w:val="single" w:color="DDDDDD" w:sz="1"/>
            </w:tcBorders>
            <w:shd w:fill="1F3864" w:val="clear"/>
            <w:tcMar>
              <w:top w:type="dxa" w:w="80"/>
              <w:left w:type="dxa" w:w="130"/>
              <w:bottom w:type="dxa" w:w="80"/>
              <w:right w:type="dxa" w:w="130"/>
            </w:tcMar>
            <w:vAlign w:val="center"/>
          </w:tcPr>
          <w:p>
            <w:pPr>
              <w:jc w:val="left"/>
            </w:pPr>
            <w:r>
              <w:rPr>
                <w:rFonts w:ascii="Calibri" w:cs="Calibri" w:eastAsia="Calibri" w:hAnsi="Calibri"/>
                <w:b/>
                <w:bCs/>
                <w:i w:val="false"/>
                <w:iCs w:val="false"/>
                <w:color w:val="FFFFFF"/>
                <w:sz w:val="18"/>
                <w:szCs w:val="18"/>
              </w:rPr>
              <w:t xml:space="preserve">Business Implication</w:t>
            </w:r>
          </w:p>
        </w:tc>
      </w:tr>
      <w:tr>
        <w:tc>
          <w:tcPr>
            <w:tcW w:type="dxa" w:w="420"/>
            <w:tcBorders>
              <w:top w:val="single" w:color="DDDDDD" w:sz="1"/>
              <w:left w:val="single" w:color="DDDDDD" w:sz="1"/>
              <w:bottom w:val="single" w:color="DDDDDD" w:sz="1"/>
              <w:right w:val="single" w:color="DDDDDD" w:sz="1"/>
            </w:tcBorders>
            <w:shd w:fill="F5F5F5" w:val="clear"/>
            <w:tcMar>
              <w:top w:type="dxa" w:w="80"/>
              <w:left w:type="dxa" w:w="130"/>
              <w:bottom w:type="dxa" w:w="80"/>
              <w:right w:type="dxa" w:w="130"/>
            </w:tcMar>
            <w:vAlign w:val="center"/>
          </w:tcPr>
          <w:p>
            <w:pPr>
              <w:jc w:val="center"/>
            </w:pPr>
            <w:r>
              <w:rPr>
                <w:rFonts w:ascii="Calibri" w:cs="Calibri" w:eastAsia="Calibri" w:hAnsi="Calibri"/>
                <w:b/>
                <w:bCs/>
                <w:i w:val="false"/>
                <w:iCs w:val="false"/>
                <w:color w:val="1A1A1A"/>
                <w:sz w:val="20"/>
                <w:szCs w:val="20"/>
              </w:rPr>
              <w:t xml:space="preserve">1</w:t>
            </w:r>
          </w:p>
        </w:tc>
        <w:tc>
          <w:tcPr>
            <w:tcW w:type="dxa" w:w="4000"/>
            <w:tcBorders>
              <w:top w:val="single" w:color="DDDDDD" w:sz="1"/>
              <w:left w:val="single" w:color="DDDDDD" w:sz="1"/>
              <w:bottom w:val="single" w:color="DDDDDD" w:sz="1"/>
              <w:right w:val="single" w:color="DDDDDD" w:sz="1"/>
            </w:tcBorders>
            <w:shd w:fill="F5F5F5" w:val="clear"/>
            <w:tcMar>
              <w:top w:type="dxa" w:w="80"/>
              <w:left w:type="dxa" w:w="130"/>
              <w:bottom w:type="dxa" w:w="80"/>
              <w:right w:type="dxa" w:w="130"/>
            </w:tcMar>
            <w:vAlign w:val="center"/>
          </w:tcPr>
          <w:p>
            <w:pPr>
              <w:jc w:val="left"/>
            </w:pPr>
            <w:r>
              <w:rPr>
                <w:rFonts w:ascii="Calibri" w:cs="Calibri" w:eastAsia="Calibri" w:hAnsi="Calibri"/>
                <w:b w:val="false"/>
                <w:bCs w:val="false"/>
                <w:i w:val="false"/>
                <w:iCs w:val="false"/>
                <w:color w:val="1A1A1A"/>
                <w:sz w:val="20"/>
                <w:szCs w:val="20"/>
              </w:rPr>
              <w:t xml:space="preserve">Only 3% of 93,358 customers place a second order. 90,557 customers bought exactly once and never returned.</w:t>
            </w:r>
          </w:p>
        </w:tc>
        <w:tc>
          <w:tcPr>
            <w:tcW w:type="dxa" w:w="4940"/>
            <w:tcBorders>
              <w:top w:val="single" w:color="DDDDDD" w:sz="1"/>
              <w:left w:val="single" w:color="DDDDDD" w:sz="1"/>
              <w:bottom w:val="single" w:color="DDDDDD" w:sz="1"/>
              <w:right w:val="single" w:color="DDDDDD" w:sz="1"/>
            </w:tcBorders>
            <w:shd w:fill="F5F5F5" w:val="clear"/>
            <w:tcMar>
              <w:top w:type="dxa" w:w="80"/>
              <w:left w:type="dxa" w:w="130"/>
              <w:bottom w:type="dxa" w:w="80"/>
              <w:right w:type="dxa" w:w="130"/>
            </w:tcMar>
            <w:vAlign w:val="center"/>
          </w:tcPr>
          <w:p>
            <w:pPr>
              <w:jc w:val="left"/>
            </w:pPr>
            <w:r>
              <w:rPr>
                <w:rFonts w:ascii="Calibri" w:cs="Calibri" w:eastAsia="Calibri" w:hAnsi="Calibri"/>
                <w:b w:val="false"/>
                <w:bCs w:val="false"/>
                <w:i w:val="false"/>
                <w:iCs w:val="false"/>
                <w:color w:val="1A1A1A"/>
                <w:sz w:val="20"/>
                <w:szCs w:val="20"/>
              </w:rPr>
              <w:t xml:space="preserve">The business has an acquisition engine and no retention engine. Every growth dollar spent on new customers without fixing this compounds the problem.</w:t>
            </w:r>
          </w:p>
        </w:tc>
      </w:tr>
      <w:tr>
        <w:tc>
          <w:tcPr>
            <w:tcW w:type="dxa" w:w="42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vAlign w:val="center"/>
          </w:tcPr>
          <w:p>
            <w:pPr>
              <w:jc w:val="center"/>
            </w:pPr>
            <w:r>
              <w:rPr>
                <w:rFonts w:ascii="Calibri" w:cs="Calibri" w:eastAsia="Calibri" w:hAnsi="Calibri"/>
                <w:b/>
                <w:bCs/>
                <w:i w:val="false"/>
                <w:iCs w:val="false"/>
                <w:color w:val="1A1A1A"/>
                <w:sz w:val="20"/>
                <w:szCs w:val="20"/>
              </w:rPr>
              <w:t xml:space="preserve">2</w:t>
            </w:r>
          </w:p>
        </w:tc>
        <w:tc>
          <w:tcPr>
            <w:tcW w:type="dxa" w:w="40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i w:val="false"/>
                <w:iCs w:val="false"/>
                <w:color w:val="1A1A1A"/>
                <w:sz w:val="20"/>
                <w:szCs w:val="20"/>
              </w:rPr>
              <w:t xml:space="preserve">Orders arriving 3 or more days late score an average of 1.85 out of 5. Orders arriving early score 4.22. The gap is 2.37 points.</w:t>
            </w:r>
          </w:p>
        </w:tc>
        <w:tc>
          <w:tcPr>
            <w:tcW w:type="dxa" w:w="494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i w:val="false"/>
                <w:iCs w:val="false"/>
                <w:color w:val="1A1A1A"/>
                <w:sz w:val="20"/>
                <w:szCs w:val="20"/>
              </w:rPr>
              <w:t xml:space="preserve">Late delivery is the primary driver of poor satisfaction. Poor satisfaction is the most likely cause of 97% single-purchase rate.</w:t>
            </w:r>
          </w:p>
        </w:tc>
      </w:tr>
      <w:tr>
        <w:tc>
          <w:tcPr>
            <w:tcW w:type="dxa" w:w="420"/>
            <w:tcBorders>
              <w:top w:val="single" w:color="DDDDDD" w:sz="1"/>
              <w:left w:val="single" w:color="DDDDDD" w:sz="1"/>
              <w:bottom w:val="single" w:color="DDDDDD" w:sz="1"/>
              <w:right w:val="single" w:color="DDDDDD" w:sz="1"/>
            </w:tcBorders>
            <w:shd w:fill="F5F5F5" w:val="clear"/>
            <w:tcMar>
              <w:top w:type="dxa" w:w="80"/>
              <w:left w:type="dxa" w:w="130"/>
              <w:bottom w:type="dxa" w:w="80"/>
              <w:right w:type="dxa" w:w="130"/>
            </w:tcMar>
            <w:vAlign w:val="center"/>
          </w:tcPr>
          <w:p>
            <w:pPr>
              <w:jc w:val="center"/>
            </w:pPr>
            <w:r>
              <w:rPr>
                <w:rFonts w:ascii="Calibri" w:cs="Calibri" w:eastAsia="Calibri" w:hAnsi="Calibri"/>
                <w:b/>
                <w:bCs/>
                <w:i w:val="false"/>
                <w:iCs w:val="false"/>
                <w:color w:val="1A1A1A"/>
                <w:sz w:val="20"/>
                <w:szCs w:val="20"/>
              </w:rPr>
              <w:t xml:space="preserve">3</w:t>
            </w:r>
          </w:p>
        </w:tc>
        <w:tc>
          <w:tcPr>
            <w:tcW w:type="dxa" w:w="4000"/>
            <w:tcBorders>
              <w:top w:val="single" w:color="DDDDDD" w:sz="1"/>
              <w:left w:val="single" w:color="DDDDDD" w:sz="1"/>
              <w:bottom w:val="single" w:color="DDDDDD" w:sz="1"/>
              <w:right w:val="single" w:color="DDDDDD" w:sz="1"/>
            </w:tcBorders>
            <w:shd w:fill="F5F5F5" w:val="clear"/>
            <w:tcMar>
              <w:top w:type="dxa" w:w="80"/>
              <w:left w:type="dxa" w:w="130"/>
              <w:bottom w:type="dxa" w:w="80"/>
              <w:right w:type="dxa" w:w="130"/>
            </w:tcMar>
            <w:vAlign w:val="center"/>
          </w:tcPr>
          <w:p>
            <w:pPr>
              <w:jc w:val="left"/>
            </w:pPr>
            <w:r>
              <w:rPr>
                <w:rFonts w:ascii="Calibri" w:cs="Calibri" w:eastAsia="Calibri" w:hAnsi="Calibri"/>
                <w:b w:val="false"/>
                <w:bCs w:val="false"/>
                <w:i w:val="false"/>
                <w:iCs w:val="false"/>
                <w:color w:val="1A1A1A"/>
                <w:sz w:val="20"/>
                <w:szCs w:val="20"/>
              </w:rPr>
              <w:t xml:space="preserve">307 sellers (10% of the seller base) carry review scores in the bottom 10%. Revenue flowing through these sellers totals R$476K.</w:t>
            </w:r>
          </w:p>
        </w:tc>
        <w:tc>
          <w:tcPr>
            <w:tcW w:type="dxa" w:w="4940"/>
            <w:tcBorders>
              <w:top w:val="single" w:color="DDDDDD" w:sz="1"/>
              <w:left w:val="single" w:color="DDDDDD" w:sz="1"/>
              <w:bottom w:val="single" w:color="DDDDDD" w:sz="1"/>
              <w:right w:val="single" w:color="DDDDDD" w:sz="1"/>
            </w:tcBorders>
            <w:shd w:fill="F5F5F5" w:val="clear"/>
            <w:tcMar>
              <w:top w:type="dxa" w:w="80"/>
              <w:left w:type="dxa" w:w="130"/>
              <w:bottom w:type="dxa" w:w="80"/>
              <w:right w:type="dxa" w:w="130"/>
            </w:tcMar>
            <w:vAlign w:val="center"/>
          </w:tcPr>
          <w:p>
            <w:pPr>
              <w:jc w:val="left"/>
            </w:pPr>
            <w:r>
              <w:rPr>
                <w:rFonts w:ascii="Calibri" w:cs="Calibri" w:eastAsia="Calibri" w:hAnsi="Calibri"/>
                <w:b w:val="false"/>
                <w:bCs w:val="false"/>
                <w:i w:val="false"/>
                <w:iCs w:val="false"/>
                <w:color w:val="1A1A1A"/>
                <w:sz w:val="20"/>
                <w:szCs w:val="20"/>
              </w:rPr>
              <w:t xml:space="preserve">R$476K in revenue is at risk from poor seller quality. These orders are the most likely to result in bad reviews and lost customers.</w:t>
            </w:r>
          </w:p>
        </w:tc>
      </w:tr>
      <w:tr>
        <w:tc>
          <w:tcPr>
            <w:tcW w:type="dxa" w:w="42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vAlign w:val="center"/>
          </w:tcPr>
          <w:p>
            <w:pPr>
              <w:jc w:val="center"/>
            </w:pPr>
            <w:r>
              <w:rPr>
                <w:rFonts w:ascii="Calibri" w:cs="Calibri" w:eastAsia="Calibri" w:hAnsi="Calibri"/>
                <w:b/>
                <w:bCs/>
                <w:i w:val="false"/>
                <w:iCs w:val="false"/>
                <w:color w:val="1A1A1A"/>
                <w:sz w:val="20"/>
                <w:szCs w:val="20"/>
              </w:rPr>
              <w:t xml:space="preserve">4</w:t>
            </w:r>
          </w:p>
        </w:tc>
        <w:tc>
          <w:tcPr>
            <w:tcW w:type="dxa" w:w="40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i w:val="false"/>
                <w:iCs w:val="false"/>
                <w:color w:val="1A1A1A"/>
                <w:sz w:val="20"/>
                <w:szCs w:val="20"/>
              </w:rPr>
              <w:t xml:space="preserve">Sao Paulo generates R$5.77M (37% of total revenue). Rio de Janeiro is second at R$2.05M but has the lowest satisfaction score among top states at 3.87.</w:t>
            </w:r>
          </w:p>
        </w:tc>
        <w:tc>
          <w:tcPr>
            <w:tcW w:type="dxa" w:w="494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i w:val="false"/>
                <w:iCs w:val="false"/>
                <w:color w:val="1A1A1A"/>
                <w:sz w:val="20"/>
                <w:szCs w:val="20"/>
              </w:rPr>
              <w:t xml:space="preserve">RJ is a major revenue market with a fulfilment or seller quality problem. It warrants a targeted operational review before further growth investment.</w:t>
            </w:r>
          </w:p>
        </w:tc>
      </w:tr>
      <w:tr>
        <w:tc>
          <w:tcPr>
            <w:tcW w:type="dxa" w:w="420"/>
            <w:tcBorders>
              <w:top w:val="single" w:color="DDDDDD" w:sz="1"/>
              <w:left w:val="single" w:color="DDDDDD" w:sz="1"/>
              <w:bottom w:val="single" w:color="DDDDDD" w:sz="1"/>
              <w:right w:val="single" w:color="DDDDDD" w:sz="1"/>
            </w:tcBorders>
            <w:shd w:fill="F5F5F5" w:val="clear"/>
            <w:tcMar>
              <w:top w:type="dxa" w:w="80"/>
              <w:left w:type="dxa" w:w="130"/>
              <w:bottom w:type="dxa" w:w="80"/>
              <w:right w:type="dxa" w:w="130"/>
            </w:tcMar>
            <w:vAlign w:val="center"/>
          </w:tcPr>
          <w:p>
            <w:pPr>
              <w:jc w:val="center"/>
            </w:pPr>
            <w:r>
              <w:rPr>
                <w:rFonts w:ascii="Calibri" w:cs="Calibri" w:eastAsia="Calibri" w:hAnsi="Calibri"/>
                <w:b/>
                <w:bCs/>
                <w:i w:val="false"/>
                <w:iCs w:val="false"/>
                <w:color w:val="1A1A1A"/>
                <w:sz w:val="20"/>
                <w:szCs w:val="20"/>
              </w:rPr>
              <w:t xml:space="preserve">5</w:t>
            </w:r>
          </w:p>
        </w:tc>
        <w:tc>
          <w:tcPr>
            <w:tcW w:type="dxa" w:w="4000"/>
            <w:tcBorders>
              <w:top w:val="single" w:color="DDDDDD" w:sz="1"/>
              <w:left w:val="single" w:color="DDDDDD" w:sz="1"/>
              <w:bottom w:val="single" w:color="DDDDDD" w:sz="1"/>
              <w:right w:val="single" w:color="DDDDDD" w:sz="1"/>
            </w:tcBorders>
            <w:shd w:fill="F5F5F5" w:val="clear"/>
            <w:tcMar>
              <w:top w:type="dxa" w:w="80"/>
              <w:left w:type="dxa" w:w="130"/>
              <w:bottom w:type="dxa" w:w="80"/>
              <w:right w:type="dxa" w:w="130"/>
            </w:tcMar>
            <w:vAlign w:val="center"/>
          </w:tcPr>
          <w:p>
            <w:pPr>
              <w:jc w:val="left"/>
            </w:pPr>
            <w:r>
              <w:rPr>
                <w:rFonts w:ascii="Calibri" w:cs="Calibri" w:eastAsia="Calibri" w:hAnsi="Calibri"/>
                <w:b w:val="false"/>
                <w:bCs w:val="false"/>
                <w:i w:val="false"/>
                <w:iCs w:val="false"/>
                <w:color w:val="1A1A1A"/>
                <w:sz w:val="20"/>
                <w:szCs w:val="20"/>
              </w:rPr>
              <w:t xml:space="preserve">Installment credit card buyers spend an average of R$195 per order versus R$96 for one-shot buyers. Installment buyers represent 67% of credit card volume.</w:t>
            </w:r>
          </w:p>
        </w:tc>
        <w:tc>
          <w:tcPr>
            <w:tcW w:type="dxa" w:w="4940"/>
            <w:tcBorders>
              <w:top w:val="single" w:color="DDDDDD" w:sz="1"/>
              <w:left w:val="single" w:color="DDDDDD" w:sz="1"/>
              <w:bottom w:val="single" w:color="DDDDDD" w:sz="1"/>
              <w:right w:val="single" w:color="DDDDDD" w:sz="1"/>
            </w:tcBorders>
            <w:shd w:fill="F5F5F5" w:val="clear"/>
            <w:tcMar>
              <w:top w:type="dxa" w:w="80"/>
              <w:left w:type="dxa" w:w="130"/>
              <w:bottom w:type="dxa" w:w="80"/>
              <w:right w:type="dxa" w:w="130"/>
            </w:tcMar>
            <w:vAlign w:val="center"/>
          </w:tcPr>
          <w:p>
            <w:pPr>
              <w:jc w:val="left"/>
            </w:pPr>
            <w:r>
              <w:rPr>
                <w:rFonts w:ascii="Calibri" w:cs="Calibri" w:eastAsia="Calibri" w:hAnsi="Calibri"/>
                <w:b w:val="false"/>
                <w:bCs w:val="false"/>
                <w:i w:val="false"/>
                <w:iCs w:val="false"/>
                <w:color w:val="1A1A1A"/>
                <w:sz w:val="20"/>
                <w:szCs w:val="20"/>
              </w:rPr>
              <w:t xml:space="preserve">Higher-value customers already prefer installment payments. Expanding installment options or promoting them actively could increase average order value.</w:t>
            </w:r>
          </w:p>
        </w:tc>
      </w:tr>
      <w:tr>
        <w:tc>
          <w:tcPr>
            <w:tcW w:type="dxa" w:w="42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vAlign w:val="center"/>
          </w:tcPr>
          <w:p>
            <w:pPr>
              <w:jc w:val="center"/>
            </w:pPr>
            <w:r>
              <w:rPr>
                <w:rFonts w:ascii="Calibri" w:cs="Calibri" w:eastAsia="Calibri" w:hAnsi="Calibri"/>
                <w:b/>
                <w:bCs/>
                <w:i w:val="false"/>
                <w:iCs w:val="false"/>
                <w:color w:val="1A1A1A"/>
                <w:sz w:val="20"/>
                <w:szCs w:val="20"/>
              </w:rPr>
              <w:t xml:space="preserve">6</w:t>
            </w:r>
          </w:p>
        </w:tc>
        <w:tc>
          <w:tcPr>
            <w:tcW w:type="dxa" w:w="40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i w:val="false"/>
                <w:iCs w:val="false"/>
                <w:color w:val="1A1A1A"/>
                <w:sz w:val="20"/>
                <w:szCs w:val="20"/>
              </w:rPr>
              <w:t xml:space="preserve">The At Risk RFM segment contains 22,230 customers representing R$3.7M in revenue. Champions, the most valuable segment, number only 6,497.</w:t>
            </w:r>
          </w:p>
        </w:tc>
        <w:tc>
          <w:tcPr>
            <w:tcW w:type="dxa" w:w="494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i w:val="false"/>
                <w:iCs w:val="false"/>
                <w:color w:val="1A1A1A"/>
                <w:sz w:val="20"/>
                <w:szCs w:val="20"/>
              </w:rPr>
              <w:t xml:space="preserve">R$3.7M in revenue from customers showing signs of disengagement is the most immediate retention opportunity in the dataset.</w:t>
            </w:r>
          </w:p>
        </w:tc>
      </w:tr>
    </w:tbl>
    <w:p>
      <w:pPr>
        <w:spacing w:after="60" w:before="60"/>
      </w:pPr>
    </w:p>
    <w:p>
      <w:pPr>
        <w:pBdr>
          <w:bottom w:val="single" w:color="1F3864" w:sz="6" w:space="4"/>
        </w:pBdr>
        <w:spacing w:after="70" w:before="280"/>
      </w:pPr>
      <w:r>
        <w:rPr>
          <w:rFonts w:ascii="Calibri" w:cs="Calibri" w:eastAsia="Calibri" w:hAnsi="Calibri"/>
          <w:b/>
          <w:bCs/>
          <w:color w:val="1F3864"/>
          <w:sz w:val="26"/>
          <w:szCs w:val="26"/>
        </w:rPr>
        <w:t xml:space="preserve">Recommendation</w:t>
      </w:r>
    </w:p>
    <w:p>
      <w:pPr>
        <w:spacing w:after="75" w:before="75"/>
        <w:jc w:val="left"/>
      </w:pPr>
      <w:r>
        <w:rPr>
          <w:rFonts w:ascii="Calibri" w:cs="Calibri" w:eastAsia="Calibri" w:hAnsi="Calibri"/>
          <w:b w:val="false"/>
          <w:bCs w:val="false"/>
          <w:i w:val="false"/>
          <w:iCs w:val="false"/>
          <w:color w:val="1A1A1A"/>
          <w:sz w:val="20"/>
          <w:szCs w:val="20"/>
        </w:rPr>
        <w:t xml:space="preserve">Three actions, in priority order:</w:t>
      </w:r>
    </w:p>
    <w:p>
      <w:pPr>
        <w:spacing w:after="60" w:before="60"/>
      </w:pPr>
    </w:p>
    <w:p>
      <w:pPr>
        <w:pStyle w:val="ListParagraph"/>
        <w:numPr>
          <w:ilvl w:val="0"/>
          <w:numId w:val="2"/>
        </w:numPr>
        <w:spacing w:after="50" w:before="50"/>
      </w:pPr>
      <w:r>
        <w:rPr>
          <w:rFonts w:ascii="Calibri" w:cs="Calibri" w:eastAsia="Calibri" w:hAnsi="Calibri"/>
          <w:b/>
          <w:bCs/>
          <w:color w:val="1A1A1A"/>
          <w:sz w:val="20"/>
          <w:szCs w:val="20"/>
        </w:rPr>
        <w:t xml:space="preserve">Fix the delivery experience first.</w:t>
      </w:r>
      <w:r>
        <w:rPr>
          <w:rFonts w:ascii="Calibri" w:cs="Calibri" w:eastAsia="Calibri" w:hAnsi="Calibri"/>
          <w:color w:val="1A1A1A"/>
          <w:sz w:val="20"/>
          <w:szCs w:val="20"/>
        </w:rPr>
        <w:t xml:space="preserve">  The data is clear that late delivery destroys satisfaction. Identify which sellers and which routes produce the most late deliveries. Set a seller performance threshold and enforce it. Even a 20% reduction in late deliveries would meaningfully improve review scores and, over time, repeat purchase rates.</w:t>
      </w:r>
    </w:p>
    <w:p>
      <w:pPr>
        <w:pStyle w:val="ListParagraph"/>
        <w:numPr>
          <w:ilvl w:val="0"/>
          <w:numId w:val="2"/>
        </w:numPr>
        <w:spacing w:after="50" w:before="50"/>
      </w:pPr>
      <w:r>
        <w:rPr>
          <w:rFonts w:ascii="Calibri" w:cs="Calibri" w:eastAsia="Calibri" w:hAnsi="Calibri"/>
          <w:b/>
          <w:bCs/>
          <w:color w:val="1A1A1A"/>
          <w:sz w:val="20"/>
          <w:szCs w:val="20"/>
        </w:rPr>
        <w:t xml:space="preserve">Reactivate the At Risk segment.</w:t>
      </w:r>
      <w:r>
        <w:rPr>
          <w:rFonts w:ascii="Calibri" w:cs="Calibri" w:eastAsia="Calibri" w:hAnsi="Calibri"/>
          <w:color w:val="1A1A1A"/>
          <w:sz w:val="20"/>
          <w:szCs w:val="20"/>
        </w:rPr>
        <w:t xml:space="preserve">  22,230 customers with prior purchase history and R$3.7M in combined spend are showing reduced engagement. A targeted reactivation campaign, timed email or offer, costs a fraction of acquiring equivalent new customers. This is the fastest revenue lever available.</w:t>
      </w:r>
    </w:p>
    <w:p>
      <w:pPr>
        <w:pStyle w:val="ListParagraph"/>
        <w:numPr>
          <w:ilvl w:val="0"/>
          <w:numId w:val="2"/>
        </w:numPr>
        <w:spacing w:after="50" w:before="50"/>
      </w:pPr>
      <w:r>
        <w:rPr>
          <w:rFonts w:ascii="Calibri" w:cs="Calibri" w:eastAsia="Calibri" w:hAnsi="Calibri"/>
          <w:b/>
          <w:bCs/>
          <w:color w:val="1A1A1A"/>
          <w:sz w:val="20"/>
          <w:szCs w:val="20"/>
        </w:rPr>
        <w:t xml:space="preserve">Review Rio de Janeiro operations.</w:t>
      </w:r>
      <w:r>
        <w:rPr>
          <w:rFonts w:ascii="Calibri" w:cs="Calibri" w:eastAsia="Calibri" w:hAnsi="Calibri"/>
          <w:color w:val="1A1A1A"/>
          <w:sz w:val="20"/>
          <w:szCs w:val="20"/>
        </w:rPr>
        <w:t xml:space="preserve">  RJ is the second largest revenue market and has the lowest satisfaction score among top states. That combination suggests a localised fulfilment or seller quality problem. Diagnosing and fixing it protects a significant revenue base before it erodes further.</w:t>
      </w:r>
    </w:p>
    <w:p>
      <w:pPr>
        <w:spacing w:after="60" w:before="60"/>
      </w:pPr>
    </w:p>
    <w:p>
      <w:pPr>
        <w:spacing w:after="75" w:before="75"/>
        <w:jc w:val="left"/>
      </w:pPr>
      <w:r>
        <w:rPr>
          <w:rFonts w:ascii="Calibri" w:cs="Calibri" w:eastAsia="Calibri" w:hAnsi="Calibri"/>
          <w:b w:val="false"/>
          <w:bCs w:val="false"/>
          <w:i w:val="false"/>
          <w:iCs w:val="false"/>
          <w:color w:val="1A1A1A"/>
          <w:sz w:val="20"/>
          <w:szCs w:val="20"/>
        </w:rPr>
        <w:t xml:space="preserve">The repeat rate of 3% is the number that ties all of these together. Delivery experience, seller quality, and regional satisfaction all feed into why customers do not come back. None of these fixes require large capital. They require operational discipline and targeted intervention.</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2026-06-11T18:29:30.658Z</dcterms:created>
  <dcterms:modified xsi:type="dcterms:W3CDTF">2026-06-11T18:29:30.666Z</dcterms:modified>
</cp:coreProperties>
</file>

<file path=docProps/custom.xml><?xml version="1.0" encoding="utf-8"?>
<Properties xmlns="http://schemas.openxmlformats.org/officeDocument/2006/custom-properties" xmlns:vt="http://schemas.openxmlformats.org/officeDocument/2006/docPropsVTypes"/>
</file>