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6"/>
          <w:szCs w:val="36"/>
        </w:rPr>
        <w:t xml:space="preserve">EXECUTIVE SUMMARY</w:t>
      </w:r>
    </w:p>
    <w:p>
      <w:pPr>
        <w:pBdr>
          <w:bottom w:val="single" w:color="1F3864" w:sz="12" w:space="4"/>
        </w:pBdr>
        <w:spacing w:after="0" w:before="0"/>
      </w:pPr>
    </w:p>
    <w:p>
      <w:pPr>
        <w:spacing w:after="200" w:before="60"/>
      </w:pPr>
      <w:r>
        <w:rPr>
          <w:rFonts w:ascii="Calibri" w:cs="Calibri" w:eastAsia="Calibri" w:hAnsi="Calibri"/>
          <w:color w:val="555555"/>
          <w:sz w:val="19"/>
          <w:szCs w:val="19"/>
        </w:rPr>
        <w:t xml:space="preserve">Retail Operations Analysis</w:t>
      </w:r>
      <w:r>
        <w:rPr>
          <w:rFonts w:ascii="Calibri" w:cs="Calibri" w:eastAsia="Calibri" w:hAnsi="Calibri"/>
          <w:color w:val="CCCCCC"/>
          <w:sz w:val="19"/>
          <w:szCs w:val="19"/>
        </w:rPr>
        <w:t xml:space="preserve">   |   </w:t>
      </w:r>
      <w:r>
        <w:rPr>
          <w:rFonts w:ascii="Calibri" w:cs="Calibri" w:eastAsia="Calibri" w:hAnsi="Calibri"/>
          <w:color w:val="555555"/>
          <w:sz w:val="19"/>
          <w:szCs w:val="19"/>
        </w:rPr>
        <w:t xml:space="preserve">Superstore Dataset</w:t>
      </w:r>
      <w:r>
        <w:rPr>
          <w:rFonts w:ascii="Calibri" w:cs="Calibri" w:eastAsia="Calibri" w:hAnsi="Calibri"/>
          <w:color w:val="CCCCCC"/>
          <w:sz w:val="19"/>
          <w:szCs w:val="19"/>
        </w:rPr>
        <w:t xml:space="preserve">   |   </w:t>
      </w:r>
      <w:r>
        <w:rPr>
          <w:rFonts w:ascii="Calibri" w:cs="Calibri" w:eastAsia="Calibri" w:hAnsi="Calibri"/>
          <w:color w:val="555555"/>
          <w:sz w:val="19"/>
          <w:szCs w:val="19"/>
        </w:rPr>
        <w:t xml:space="preserve">SQL, Python,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$2.30M</w:t>
            </w:r>
          </w:p>
        </w:tc>
        <w:tc>
          <w:tcPr>
            <w:tcW w:type="dxa" w:w="234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$286K</w:t>
            </w:r>
          </w:p>
        </w:tc>
        <w:tc>
          <w:tcPr>
            <w:tcW w:type="dxa" w:w="2340"/>
            <w:tcBorders>
              <w:top w:val="single" w:color="CCCCCC" w:sz="1"/>
              <w:left w:val="single" w:color="CCCCCC" w:sz="1"/>
              <w:bottom w:val="single" w:color="CCCCCC" w:sz="1"/>
              <w:right w:val="single" w:color="CCCCCC" w:sz="1"/>
            </w:tcBorders>
            <w:shd w:fill="1F618D"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12.47%</w:t>
            </w:r>
          </w:p>
        </w:tc>
        <w:tc>
          <w:tcPr>
            <w:tcW w:type="dxa" w:w="2340"/>
            <w:tcBorders>
              <w:top w:val="single" w:color="CCCCCC" w:sz="1"/>
              <w:left w:val="single" w:color="CCCCCC" w:sz="1"/>
              <w:bottom w:val="single" w:color="CCCCCC" w:sz="1"/>
              <w:right w:val="single" w:color="CCCCCC" w:sz="1"/>
            </w:tcBorders>
            <w:shd w:fill="2874A6"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9,994</w:t>
            </w:r>
          </w:p>
        </w:tc>
      </w:tr>
      <w:tr>
        <w:tc>
          <w:tcPr>
            <w:tcW w:type="dxa" w:w="234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40"/>
            </w:tcMar>
            <w:vAlign w:val="center"/>
          </w:tcPr>
          <w:p>
            <w:pPr>
              <w:jc w:val="center"/>
            </w:pPr>
            <w:r>
              <w:rPr>
                <w:rFonts w:ascii="Calibri" w:cs="Calibri" w:eastAsia="Calibri" w:hAnsi="Calibri"/>
                <w:b w:val="false"/>
                <w:bCs w:val="false"/>
                <w:color w:val="555555"/>
                <w:sz w:val="18"/>
                <w:szCs w:val="18"/>
              </w:rPr>
              <w:t xml:space="preserve">Total Revenue</w:t>
            </w:r>
          </w:p>
        </w:tc>
        <w:tc>
          <w:tcPr>
            <w:tcW w:type="dxa" w:w="234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40"/>
            </w:tcMar>
            <w:vAlign w:val="center"/>
          </w:tcPr>
          <w:p>
            <w:pPr>
              <w:jc w:val="center"/>
            </w:pPr>
            <w:r>
              <w:rPr>
                <w:rFonts w:ascii="Calibri" w:cs="Calibri" w:eastAsia="Calibri" w:hAnsi="Calibri"/>
                <w:b w:val="false"/>
                <w:bCs w:val="false"/>
                <w:color w:val="555555"/>
                <w:sz w:val="18"/>
                <w:szCs w:val="18"/>
              </w:rPr>
              <w:t xml:space="preserve">Total Profit</w:t>
            </w:r>
          </w:p>
        </w:tc>
        <w:tc>
          <w:tcPr>
            <w:tcW w:type="dxa" w:w="234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40"/>
            </w:tcMar>
            <w:vAlign w:val="center"/>
          </w:tcPr>
          <w:p>
            <w:pPr>
              <w:jc w:val="center"/>
            </w:pPr>
            <w:r>
              <w:rPr>
                <w:rFonts w:ascii="Calibri" w:cs="Calibri" w:eastAsia="Calibri" w:hAnsi="Calibri"/>
                <w:b w:val="false"/>
                <w:bCs w:val="false"/>
                <w:color w:val="555555"/>
                <w:sz w:val="18"/>
                <w:szCs w:val="18"/>
              </w:rPr>
              <w:t xml:space="preserve">Overall Margin</w:t>
            </w:r>
          </w:p>
        </w:tc>
        <w:tc>
          <w:tcPr>
            <w:tcW w:type="dxa" w:w="234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40"/>
            </w:tcMar>
            <w:vAlign w:val="center"/>
          </w:tcPr>
          <w:p>
            <w:pPr>
              <w:jc w:val="center"/>
            </w:pPr>
            <w:r>
              <w:rPr>
                <w:rFonts w:ascii="Calibri" w:cs="Calibri" w:eastAsia="Calibri" w:hAnsi="Calibri"/>
                <w:b w:val="false"/>
                <w:bCs w:val="false"/>
                <w:color w:val="555555"/>
                <w:sz w:val="18"/>
                <w:szCs w:val="18"/>
              </w:rPr>
              <w:t xml:space="preserve">Total Orders</w:t>
            </w:r>
          </w:p>
        </w:tc>
      </w:tr>
    </w:tbl>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Situation</w:t>
      </w:r>
    </w:p>
    <w:p>
      <w:pPr>
        <w:spacing w:after="80" w:before="80"/>
        <w:jc w:val="left"/>
      </w:pPr>
      <w:r>
        <w:rPr>
          <w:rFonts w:ascii="Calibri" w:cs="Calibri" w:eastAsia="Calibri" w:hAnsi="Calibri"/>
          <w:b w:val="false"/>
          <w:bCs w:val="false"/>
          <w:i w:val="false"/>
          <w:iCs w:val="false"/>
          <w:color w:val="1A1A1A"/>
          <w:sz w:val="20"/>
          <w:szCs w:val="20"/>
        </w:rPr>
        <w:t xml:space="preserve">This report covers four years of transactional data for a US retail chain operating across four regions, selling Furniture, Office Supplies, and Technology products. Total revenue stands at $2.3M but the overall profit margin of 12.47% conceals severe underperformance in specific regions, product lines, and discount practices. The analysis was designed to answer one core question: where is the business losing money, and what is the single highest-leverage fix?</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The Central Problem</w:t>
      </w:r>
    </w:p>
    <w:p>
      <w:pPr>
        <w:spacing w:after="80" w:before="80"/>
        <w:jc w:val="left"/>
      </w:pPr>
      <w:r>
        <w:rPr>
          <w:rFonts w:ascii="Calibri" w:cs="Calibri" w:eastAsia="Calibri" w:hAnsi="Calibri"/>
          <w:b w:val="false"/>
          <w:bCs w:val="false"/>
          <w:i w:val="false"/>
          <w:iCs w:val="false"/>
          <w:color w:val="1A1A1A"/>
          <w:sz w:val="20"/>
          <w:szCs w:val="20"/>
        </w:rPr>
        <w:t xml:space="preserve">The business does not have a revenue problem. It has a discount discipline problem. Nearly every significant loss in this dataset traces back to excessive discounting, concentrated in the Central region and in the Furniture category. In certain pockets of the business, the company is actively losing money on every sale it makes.</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00"/>
        <w:gridCol w:w="48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Finding</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What it means for the business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b/>
                <w:bCs/>
                <w:color w:val="1A1A1A"/>
                <w:sz w:val="20"/>
                <w:szCs w:val="20"/>
              </w:rPr>
              <w:t xml:space="preserve">1</w:t>
            </w:r>
          </w:p>
        </w:tc>
        <w:tc>
          <w:tcPr>
            <w:tcW w:type="dxa" w:w="4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 sub-categories generate 80% of revenue: Chairs, Phones, Storage, Tables, Binders, Machines, Accessories, and Copiers.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 remaining sub-categories contribute less than a quarter of revenue. Sales effort and promotional spend should concentrate on these 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A1A1A"/>
                <w:sz w:val="20"/>
                <w:szCs w:val="20"/>
              </w:rPr>
              <w:t xml:space="preserve">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Central region discounts at 20.51% on average and earns just 4.61% profit margin. East discounts at 6.92% and returns 15.85%.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Central is eroding value that other regions build. Discount discipline in one region is the single biggest profit lever available.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b/>
                <w:bCs/>
                <w:color w:val="1A1A1A"/>
                <w:sz w:val="20"/>
                <w:szCs w:val="20"/>
              </w:rPr>
              <w:t xml:space="preserve">3</w:t>
            </w:r>
          </w:p>
        </w:tc>
        <w:tc>
          <w:tcPr>
            <w:tcW w:type="dxa" w:w="4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Furnishings in Central carry a 67.65% average discount, producing a -40.58% profit margin and a direct loss of $2,704 on that sub-category alone.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 67% discount has no commercial justification. This suggests field-level discounting with no approval process in place.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A1A1A"/>
                <w:sz w:val="20"/>
                <w:szCs w:val="20"/>
              </w:rPr>
              <w:t xml:space="preserve">4</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Tables generate -$11,000 in total profit. Bookcases lose $1,253. Both are being sold below cost in aggregate.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These two sub-categories should be repriced or reviewed for removal. Every unit sold at current pricing loses money.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b/>
                <w:bCs/>
                <w:color w:val="1A1A1A"/>
                <w:sz w:val="20"/>
                <w:szCs w:val="20"/>
              </w:rPr>
              <w:t xml:space="preserve">5</w:t>
            </w:r>
          </w:p>
        </w:tc>
        <w:tc>
          <w:tcPr>
            <w:tcW w:type="dxa" w:w="4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Home Office is the most profitable customer segment at 15.52% margin, ahead of Consumer and Corporate.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 most profitable segment gets the least attention. Targeted outreach to Home Office customers is an immediate revenue opportunity.</w:t>
            </w:r>
          </w:p>
        </w:tc>
      </w:tr>
    </w:tbl>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Recommendation</w:t>
      </w:r>
    </w:p>
    <w:p>
      <w:pPr>
        <w:spacing w:after="80" w:before="80"/>
        <w:jc w:val="left"/>
      </w:pPr>
      <w:r>
        <w:rPr>
          <w:rFonts w:ascii="Calibri" w:cs="Calibri" w:eastAsia="Calibri" w:hAnsi="Calibri"/>
          <w:b w:val="false"/>
          <w:bCs w:val="false"/>
          <w:i w:val="false"/>
          <w:iCs w:val="false"/>
          <w:color w:val="1A1A1A"/>
          <w:sz w:val="20"/>
          <w:szCs w:val="20"/>
        </w:rPr>
        <w:t xml:space="preserve">One operational change addresses the root cause of Findings 2, 3, and 4: set a 15% discount ceiling in the Central region, with mandatory manager approval for anything above that threshold. This directly targets the discount behaviour that is compressing margin across Furniture in Central.</w:t>
      </w:r>
    </w:p>
    <w:p>
      <w:pPr>
        <w:spacing w:after="80" w:before="80"/>
        <w:jc w:val="left"/>
      </w:pPr>
      <w:r>
        <w:rPr>
          <w:rFonts w:ascii="Calibri" w:cs="Calibri" w:eastAsia="Calibri" w:hAnsi="Calibri"/>
          <w:b w:val="false"/>
          <w:bCs w:val="false"/>
          <w:i w:val="false"/>
          <w:iCs w:val="false"/>
          <w:color w:val="1A1A1A"/>
          <w:sz w:val="20"/>
          <w:szCs w:val="20"/>
        </w:rPr>
        <w:t xml:space="preserve">The revenue impact of this change is minimal. The high-discount deals being made in Central are already loss-making, so reducing their frequency does not cost the business profitable sales. The estimated profit recovery is $40,000 to $60,000 annually, which represents 14 to 21% of the business's current total profit.</w:t>
      </w:r>
    </w:p>
    <w:p>
      <w:pPr>
        <w:spacing w:after="60" w:before="60"/>
      </w:pPr>
    </w:p>
    <w:p>
      <w:pPr>
        <w:spacing w:after="80" w:before="80"/>
        <w:jc w:val="left"/>
      </w:pPr>
      <w:r>
        <w:rPr>
          <w:rFonts w:ascii="Calibri" w:cs="Calibri" w:eastAsia="Calibri" w:hAnsi="Calibri"/>
          <w:b/>
          <w:bCs/>
          <w:i w:val="false"/>
          <w:iCs w:val="false"/>
          <w:color w:val="1A1A1A"/>
          <w:sz w:val="20"/>
          <w:szCs w:val="20"/>
        </w:rPr>
        <w:t xml:space="preserve">Secondary actions worth pursuing:</w:t>
      </w:r>
    </w:p>
    <w:p>
      <w:pPr>
        <w:pStyle w:val="ListParagraph"/>
        <w:numPr>
          <w:ilvl w:val="0"/>
          <w:numId w:val="2"/>
        </w:numPr>
        <w:spacing w:after="55" w:before="55"/>
      </w:pPr>
      <w:r>
        <w:rPr>
          <w:rFonts w:ascii="Calibri" w:cs="Calibri" w:eastAsia="Calibri" w:hAnsi="Calibri"/>
          <w:b/>
          <w:bCs/>
          <w:color w:val="1A1A1A"/>
          <w:sz w:val="20"/>
          <w:szCs w:val="20"/>
        </w:rPr>
        <w:t xml:space="preserve">Pricing review for Tables and Bookcases.</w:t>
      </w:r>
      <w:r>
        <w:rPr>
          <w:rFonts w:ascii="Calibri" w:cs="Calibri" w:eastAsia="Calibri" w:hAnsi="Calibri"/>
          <w:color w:val="1A1A1A"/>
          <w:sz w:val="20"/>
          <w:szCs w:val="20"/>
        </w:rPr>
        <w:t xml:space="preserve"> If landed cost cannot support a 10% margin, these lines should be repriced or phased out.</w:t>
      </w:r>
    </w:p>
    <w:p>
      <w:pPr>
        <w:pStyle w:val="ListParagraph"/>
        <w:numPr>
          <w:ilvl w:val="0"/>
          <w:numId w:val="2"/>
        </w:numPr>
        <w:spacing w:after="55" w:before="55"/>
      </w:pPr>
      <w:r>
        <w:rPr>
          <w:rFonts w:ascii="Calibri" w:cs="Calibri" w:eastAsia="Calibri" w:hAnsi="Calibri"/>
          <w:b/>
          <w:bCs/>
          <w:color w:val="1A1A1A"/>
          <w:sz w:val="20"/>
          <w:szCs w:val="20"/>
        </w:rPr>
        <w:t xml:space="preserve">Dedicated focus on the Home Office segment.</w:t>
      </w:r>
      <w:r>
        <w:rPr>
          <w:rFonts w:ascii="Calibri" w:cs="Calibri" w:eastAsia="Calibri" w:hAnsi="Calibri"/>
          <w:color w:val="1A1A1A"/>
          <w:sz w:val="20"/>
          <w:szCs w:val="20"/>
        </w:rPr>
        <w:t xml:space="preserve"> It generates the highest margin and is currently underserved relative to its value.</w:t>
      </w:r>
    </w:p>
    <w:p>
      <w:pPr>
        <w:pStyle w:val="ListParagraph"/>
        <w:numPr>
          <w:ilvl w:val="0"/>
          <w:numId w:val="2"/>
        </w:numPr>
        <w:spacing w:after="55" w:before="55"/>
      </w:pPr>
      <w:r>
        <w:rPr>
          <w:rFonts w:ascii="Calibri" w:cs="Calibri" w:eastAsia="Calibri" w:hAnsi="Calibri"/>
          <w:b/>
          <w:bCs/>
          <w:color w:val="1A1A1A"/>
          <w:sz w:val="20"/>
          <w:szCs w:val="20"/>
        </w:rPr>
        <w:t xml:space="preserve">Review July Machines promotions in Central.</w:t>
      </w:r>
      <w:r>
        <w:rPr>
          <w:rFonts w:ascii="Calibri" w:cs="Calibri" w:eastAsia="Calibri" w:hAnsi="Calibri"/>
          <w:color w:val="1A1A1A"/>
          <w:sz w:val="20"/>
          <w:szCs w:val="20"/>
        </w:rPr>
        <w:t xml:space="preserve"> The current discount depth in that window produces a -93% margin on Machines. That is not a sustainable promotional strategy.</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2026-06-08T21:21:01.781Z</dcterms:created>
  <dcterms:modified xsi:type="dcterms:W3CDTF">2026-06-08T21:21:01.794Z</dcterms:modified>
</cp:coreProperties>
</file>

<file path=docProps/custom.xml><?xml version="1.0" encoding="utf-8"?>
<Properties xmlns="http://schemas.openxmlformats.org/officeDocument/2006/custom-properties" xmlns:vt="http://schemas.openxmlformats.org/officeDocument/2006/docPropsVTypes"/>
</file>