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646464"/>
          <w:sz w:val="28"/>
        </w:rPr>
        <w:t>PHARMACOVIGILANCE PROJECT</w:t>
      </w:r>
    </w:p>
    <w:p>
      <w:pPr>
        <w:spacing w:before="500"/>
        <w:jc w:val="center"/>
      </w:pPr>
      <w:r>
        <w:rPr>
          <w:b/>
          <w:color w:val="1F4E79"/>
          <w:sz w:val="54"/>
        </w:rPr>
        <w:t>CAUSALITY ASSESSMENT</w:t>
      </w:r>
    </w:p>
    <w:p>
      <w:pPr>
        <w:jc w:val="center"/>
      </w:pPr>
      <w:r>
        <w:rPr>
          <w:i/>
          <w:sz w:val="26"/>
        </w:rPr>
        <w:t>Methods, Principles and Clinical Application</w:t>
      </w:r>
    </w:p>
    <w:p>
      <w:pPr>
        <w:spacing w:before="1100"/>
        <w:jc w:val="center"/>
      </w:pPr>
      <w:r>
        <w:rPr>
          <w:sz w:val="24"/>
        </w:rPr>
        <w:t>Submitted as part of the academic work in</w:t>
        <w:br/>
        <w:t>Bachelor of Pharmacy (B.Pharm)</w:t>
      </w:r>
    </w:p>
    <w:p>
      <w:pPr>
        <w:spacing w:before="800"/>
        <w:jc w:val="center"/>
      </w:pPr>
      <w:r>
        <w:rPr>
          <w:b/>
          <w:sz w:val="24"/>
        </w:rPr>
        <w:t>Prepared by</w:t>
        <w:br/>
        <w:t>Keshav Kumar Singh</w:t>
        <w:br/>
        <w:t>3rd Year, B.Pharm</w:t>
      </w:r>
    </w:p>
    <w:p>
      <w:pPr>
        <w:spacing w:before="500"/>
        <w:jc w:val="center"/>
      </w:pPr>
      <w:r>
        <w:rPr>
          <w:color w:val="646464"/>
          <w:sz w:val="20"/>
        </w:rPr>
        <w:t>Academic Project • Pharmacovigilance</w:t>
      </w:r>
    </w:p>
    <w:p>
      <w:r>
        <w:br w:type="page"/>
      </w:r>
    </w:p>
    <w:p>
      <w:pPr>
        <w:pStyle w:val="Heading1"/>
        <w:keepNext/>
      </w:pPr>
      <w:r>
        <w:t>Contents</w:t>
      </w:r>
    </w:p>
    <w:p>
      <w:pPr>
        <w:spacing w:after="40"/>
      </w:pPr>
      <w:r>
        <w:t>1. Introduction</w:t>
      </w:r>
    </w:p>
    <w:p>
      <w:pPr>
        <w:spacing w:after="40"/>
      </w:pPr>
      <w:r>
        <w:t>2. Definition</w:t>
      </w:r>
    </w:p>
    <w:p>
      <w:pPr>
        <w:spacing w:after="40"/>
      </w:pPr>
      <w:r>
        <w:t>3. Importance of Causality Assessment</w:t>
      </w:r>
    </w:p>
    <w:p>
      <w:pPr>
        <w:spacing w:after="40"/>
      </w:pPr>
      <w:r>
        <w:t>4. Factors Influencing Causality</w:t>
      </w:r>
    </w:p>
    <w:p>
      <w:pPr>
        <w:spacing w:after="40"/>
      </w:pPr>
      <w:r>
        <w:t>5. Major Methods of Causality Assessment</w:t>
      </w:r>
    </w:p>
    <w:p>
      <w:pPr>
        <w:spacing w:after="40"/>
      </w:pPr>
      <w:r>
        <w:t>6. Naranjo Algorithm</w:t>
      </w:r>
    </w:p>
    <w:p>
      <w:pPr>
        <w:spacing w:after="40"/>
      </w:pPr>
      <w:r>
        <w:t>7. WHO-UMC Causality Assessment System</w:t>
      </w:r>
    </w:p>
    <w:p>
      <w:pPr>
        <w:spacing w:after="40"/>
      </w:pPr>
      <w:r>
        <w:t>8. Naranjo Algorithm vs WHO-UMC System</w:t>
      </w:r>
    </w:p>
    <w:p>
      <w:pPr>
        <w:spacing w:after="40"/>
      </w:pPr>
      <w:r>
        <w:t>9. Causality Assessment in Spontaneous Reports</w:t>
      </w:r>
    </w:p>
    <w:p>
      <w:pPr>
        <w:spacing w:after="40"/>
      </w:pPr>
      <w:r>
        <w:t>10. Causality Assessment of Vaccine-related Events</w:t>
      </w:r>
    </w:p>
    <w:p>
      <w:pPr>
        <w:spacing w:after="40"/>
      </w:pPr>
      <w:r>
        <w:t>11. WHO AEFI Causality Assessment</w:t>
      </w:r>
    </w:p>
    <w:p>
      <w:pPr>
        <w:spacing w:after="40"/>
      </w:pPr>
      <w:r>
        <w:t>12. Strength of Evidence in Causality Assessment</w:t>
      </w:r>
    </w:p>
    <w:p>
      <w:pPr>
        <w:spacing w:after="40"/>
      </w:pPr>
      <w:r>
        <w:t>13. Role of Medical Judgment</w:t>
      </w:r>
    </w:p>
    <w:p>
      <w:pPr>
        <w:spacing w:after="40"/>
      </w:pPr>
      <w:r>
        <w:t>14. Automation and Future Scope</w:t>
      </w:r>
    </w:p>
    <w:p>
      <w:pPr>
        <w:spacing w:after="40"/>
      </w:pPr>
      <w:r>
        <w:t>15. Advantages</w:t>
      </w:r>
    </w:p>
    <w:p>
      <w:pPr>
        <w:spacing w:after="40"/>
      </w:pPr>
      <w:r>
        <w:t>16. Limitations</w:t>
      </w:r>
    </w:p>
    <w:p>
      <w:pPr>
        <w:spacing w:after="40"/>
      </w:pPr>
      <w:r>
        <w:t>17. Conclusion</w:t>
      </w:r>
    </w:p>
    <w:p>
      <w:pPr>
        <w:spacing w:after="40"/>
      </w:pPr>
      <w:r>
        <w:t>References</w:t>
      </w:r>
    </w:p>
    <w:p>
      <w:r>
        <w:br w:type="page"/>
      </w:r>
    </w:p>
    <w:p>
      <w:pPr>
        <w:pStyle w:val="Heading1"/>
        <w:keepNext/>
      </w:pPr>
      <w:r>
        <w:t>1. Introduction</w:t>
      </w:r>
    </w:p>
    <w:p>
      <w:r>
        <w:t>Causality assessment is an important component of pharmacovigilance used to evaluate whether there is a possible relationship between the use of a medicinal product and the occurrence of an adverse event. When a patient experiences an adverse event after taking a drug, the occurrence alone does not prove that the drug caused the event. The event may be related to the drug, the underlying disease, another medication, or other patient-related factors.</w:t>
      </w:r>
    </w:p>
    <w:p>
      <w:r>
        <w:t>Causality assessment therefore helps healthcare professionals determine the likelihood that a suspected medicine is responsible for an adverse drug reaction (ADR). It supports the evaluation of individual case safety reports, signal detection, regulatory decision-making and the overall assessment of medicine safety.</w:t>
      </w:r>
    </w:p>
    <w:tbl>
      <w:tblPr>
        <w:tblStyle w:val="TableGrid"/>
        <w:tblW w:type="auto" w:w="0"/>
        <w:jc w:val="center"/>
        <w:tblLook w:firstColumn="1" w:firstRow="1" w:lastColumn="0" w:lastRow="0" w:noHBand="0" w:noVBand="1" w:val="04A0"/>
      </w:tblPr>
      <w:tblGrid>
        <w:gridCol w:w="10008"/>
      </w:tblGrid>
      <w:tr>
        <w:tc>
          <w:tcPr>
            <w:tcW w:type="dxa" w:w="10008"/>
            <w:shd w:fill="F2F6FA"/>
          </w:tcPr>
          <w:p>
            <w:r/>
            <w:r>
              <w:rPr>
                <w:b/>
                <w:color w:val="1F4E79"/>
                <w:sz w:val="20"/>
              </w:rPr>
              <w:t>Key principle</w:t>
              <w:br/>
            </w:r>
            <w:r>
              <w:rPr>
                <w:sz w:val="19"/>
              </w:rPr>
              <w:t>Causality assessment evaluates the strength and plausibility of the relationship between drug exposure and an observed adverse event; it does not automatically prove that the drug caused the event.</w:t>
            </w:r>
          </w:p>
        </w:tc>
      </w:tr>
    </w:tbl>
    <w:p>
      <w:pPr>
        <w:spacing w:after="40"/>
      </w:pPr>
    </w:p>
    <w:p>
      <w:pPr>
        <w:pStyle w:val="Heading1"/>
        <w:keepNext/>
      </w:pPr>
      <w:r>
        <w:t>2. Definition</w:t>
      </w:r>
    </w:p>
    <w:p>
      <w:r>
        <w:t>Causality assessment is the systematic evaluation of the relationship between exposure to a medicinal product and the occurrence of an adverse event to determine the likelihood that the medicinal product caused the event.</w:t>
      </w:r>
    </w:p>
    <w:p>
      <w:r>
        <w:t>An adverse event (AE) is any untoward medical occurrence following the use of a medicinal product, without necessarily implying a causal relationship. An adverse drug reaction (ADR) implies a suspected or established causal relationship between the medicinal product and the adverse event.</w:t>
      </w:r>
    </w:p>
    <w:p>
      <w:pPr>
        <w:pStyle w:val="Heading1"/>
        <w:keepNext/>
      </w:pPr>
      <w:r>
        <w:t>3. Importance of Causality Assessment</w:t>
      </w:r>
    </w:p>
    <w:p>
      <w:pPr>
        <w:pStyle w:val="ListBullet"/>
        <w:spacing w:after="40"/>
      </w:pPr>
      <w:r>
        <w:t>Determines the likelihood that a medicine caused an adverse event.</w:t>
      </w:r>
    </w:p>
    <w:p>
      <w:pPr>
        <w:pStyle w:val="ListBullet"/>
        <w:spacing w:after="40"/>
      </w:pPr>
      <w:r>
        <w:t>Helps distinguish drug-related events from events caused by other factors.</w:t>
      </w:r>
    </w:p>
    <w:p>
      <w:pPr>
        <w:pStyle w:val="ListBullet"/>
        <w:spacing w:after="40"/>
      </w:pPr>
      <w:r>
        <w:t>Improves the quality and clinical interpretation of individual case safety reports.</w:t>
      </w:r>
    </w:p>
    <w:p>
      <w:pPr>
        <w:pStyle w:val="ListBullet"/>
        <w:spacing w:after="40"/>
      </w:pPr>
      <w:r>
        <w:t>Supports identification and evaluation of potential safety signals.</w:t>
      </w:r>
    </w:p>
    <w:p>
      <w:pPr>
        <w:pStyle w:val="ListBullet"/>
        <w:spacing w:after="40"/>
      </w:pPr>
      <w:r>
        <w:t>Helps regulatory authorities and pharmaceutical companies monitor medicine safety.</w:t>
      </w:r>
    </w:p>
    <w:p>
      <w:pPr>
        <w:pStyle w:val="ListBullet"/>
        <w:spacing w:after="40"/>
      </w:pPr>
      <w:r>
        <w:t>Provides a structured approach for healthcare professionals.</w:t>
      </w:r>
    </w:p>
    <w:p>
      <w:pPr>
        <w:pStyle w:val="ListBullet"/>
        <w:spacing w:after="40"/>
      </w:pPr>
      <w:r>
        <w:t>Contributes to decisions concerning warnings, precautions and risk minimization.</w:t>
      </w:r>
    </w:p>
    <w:p>
      <w:pPr>
        <w:pStyle w:val="ListBullet"/>
        <w:spacing w:after="40"/>
      </w:pPr>
      <w:r>
        <w:t>Helps improve patient safety by identifying potentially harmful drug reactions.</w:t>
      </w:r>
    </w:p>
    <w:p>
      <w:pPr>
        <w:pStyle w:val="Heading1"/>
        <w:keepNext/>
      </w:pPr>
      <w:r>
        <w:t>4. Factors Influencing Causality</w:t>
      </w:r>
    </w:p>
    <w:p>
      <w:pPr>
        <w:pStyle w:val="Heading2"/>
        <w:keepNext/>
      </w:pPr>
      <w:r>
        <w:t>4.1 Drug-related factors</w:t>
      </w:r>
    </w:p>
    <w:p>
      <w:pPr>
        <w:pStyle w:val="ListBullet"/>
        <w:spacing w:after="40"/>
      </w:pPr>
      <w:r>
        <w:t>Previously known adverse effects of the drug.</w:t>
      </w:r>
    </w:p>
    <w:p>
      <w:pPr>
        <w:pStyle w:val="ListBullet"/>
        <w:spacing w:after="40"/>
      </w:pPr>
      <w:r>
        <w:t>Pharmacological properties, dose and duration of therapy.</w:t>
      </w:r>
    </w:p>
    <w:p>
      <w:pPr>
        <w:pStyle w:val="ListBullet"/>
        <w:spacing w:after="40"/>
      </w:pPr>
      <w:r>
        <w:t>Drug-drug, drug-food and drug-disease interactions.</w:t>
      </w:r>
    </w:p>
    <w:p>
      <w:pPr>
        <w:pStyle w:val="ListBullet"/>
        <w:spacing w:after="40"/>
      </w:pPr>
      <w:r>
        <w:t>Concomitant medications.</w:t>
      </w:r>
    </w:p>
    <w:p>
      <w:pPr>
        <w:pStyle w:val="ListBullet"/>
        <w:spacing w:after="40"/>
      </w:pPr>
      <w:r>
        <w:t>Known mechanism of toxicity.</w:t>
      </w:r>
    </w:p>
    <w:p>
      <w:pPr>
        <w:pStyle w:val="Heading2"/>
        <w:keepNext/>
      </w:pPr>
      <w:r>
        <w:t>4.2 Event-related factors</w:t>
      </w:r>
    </w:p>
    <w:p>
      <w:pPr>
        <w:pStyle w:val="ListBullet"/>
        <w:spacing w:after="40"/>
      </w:pPr>
      <w:r>
        <w:t>Type and severity of the reaction.</w:t>
      </w:r>
    </w:p>
    <w:p>
      <w:pPr>
        <w:pStyle w:val="ListBullet"/>
        <w:spacing w:after="40"/>
      </w:pPr>
      <w:r>
        <w:t>Clinical presentation and laboratory findings.</w:t>
      </w:r>
    </w:p>
    <w:p>
      <w:pPr>
        <w:pStyle w:val="ListBullet"/>
        <w:spacing w:after="40"/>
      </w:pPr>
      <w:r>
        <w:t>Whether the event is a recognized reaction to the suspected drug.</w:t>
      </w:r>
    </w:p>
    <w:p>
      <w:pPr>
        <w:pStyle w:val="ListBullet"/>
        <w:spacing w:after="40"/>
      </w:pPr>
      <w:r>
        <w:t>Whether the event is consistent with the pharmacological mechanism.</w:t>
      </w:r>
    </w:p>
    <w:p>
      <w:pPr>
        <w:pStyle w:val="Heading2"/>
        <w:keepNext/>
      </w:pPr>
      <w:r>
        <w:t>4.3 Patient-related factors</w:t>
      </w:r>
    </w:p>
    <w:p>
      <w:pPr>
        <w:pStyle w:val="ListBullet"/>
        <w:spacing w:after="40"/>
      </w:pPr>
      <w:r>
        <w:t>Age and sex.</w:t>
      </w:r>
    </w:p>
    <w:p>
      <w:pPr>
        <w:pStyle w:val="ListBullet"/>
        <w:spacing w:after="40"/>
      </w:pPr>
      <w:r>
        <w:t>Genetic factors.</w:t>
      </w:r>
    </w:p>
    <w:p>
      <w:pPr>
        <w:pStyle w:val="ListBullet"/>
        <w:spacing w:after="40"/>
      </w:pPr>
      <w:r>
        <w:t>Medical history and previous exposure.</w:t>
      </w:r>
    </w:p>
    <w:p>
      <w:pPr>
        <w:pStyle w:val="ListBullet"/>
        <w:spacing w:after="40"/>
      </w:pPr>
      <w:r>
        <w:t>Renal or hepatic impairment.</w:t>
      </w:r>
    </w:p>
    <w:p>
      <w:pPr>
        <w:pStyle w:val="ListBullet"/>
        <w:spacing w:after="40"/>
      </w:pPr>
      <w:r>
        <w:t>Allergies or hypersensitivity.</w:t>
      </w:r>
    </w:p>
    <w:p>
      <w:pPr>
        <w:pStyle w:val="ListBullet"/>
        <w:spacing w:after="40"/>
      </w:pPr>
      <w:r>
        <w:t>Existing diseases and concomitant therapy.</w:t>
      </w:r>
    </w:p>
    <w:p>
      <w:pPr>
        <w:pStyle w:val="Heading2"/>
        <w:keepNext/>
      </w:pPr>
      <w:r>
        <w:t>4.4 Clinical factors</w:t>
      </w:r>
    </w:p>
    <w:p>
      <w:pPr>
        <w:pStyle w:val="ListBullet"/>
        <w:spacing w:after="40"/>
      </w:pPr>
      <w:r>
        <w:t>Temporal relationship between drug exposure and event.</w:t>
      </w:r>
    </w:p>
    <w:p>
      <w:pPr>
        <w:pStyle w:val="ListBullet"/>
        <w:spacing w:after="40"/>
      </w:pPr>
      <w:r>
        <w:t>Dechallenge: improvement after withdrawal of the suspected drug.</w:t>
      </w:r>
    </w:p>
    <w:p>
      <w:pPr>
        <w:pStyle w:val="ListBullet"/>
        <w:spacing w:after="40"/>
      </w:pPr>
      <w:r>
        <w:t>Rechallenge: recurrence after re-administration.</w:t>
      </w:r>
    </w:p>
    <w:p>
      <w:pPr>
        <w:pStyle w:val="ListBullet"/>
        <w:spacing w:after="40"/>
      </w:pPr>
      <w:r>
        <w:t>Dose-response relationship.</w:t>
      </w:r>
    </w:p>
    <w:p>
      <w:pPr>
        <w:pStyle w:val="ListBullet"/>
        <w:spacing w:after="40"/>
      </w:pPr>
      <w:r>
        <w:t>Presence of alternative explanations.</w:t>
      </w:r>
    </w:p>
    <w:p>
      <w:pPr>
        <w:pStyle w:val="ListBullet"/>
        <w:spacing w:after="40"/>
      </w:pPr>
      <w:r>
        <w:t>Objective laboratory or diagnostic evidence.</w:t>
      </w:r>
    </w:p>
    <w:p>
      <w:pPr>
        <w:pStyle w:val="Heading1"/>
        <w:keepNext/>
      </w:pPr>
      <w:r>
        <w:t>5. Major Methods of Causality Assessment</w:t>
      </w:r>
    </w:p>
    <w:p>
      <w:r>
        <w:t>Commonly used approaches include the Naranjo Algorithm and the WHO-UMC Causality Assessment System. Vaccine-related events require a specialized WHO Adverse Event Following Immunization (AEFI) framework.</w:t>
      </w:r>
    </w:p>
    <w:p>
      <w:pPr>
        <w:pStyle w:val="Heading1"/>
        <w:keepNext/>
      </w:pPr>
      <w:r>
        <w:t>6. Naranjo Algorithm</w:t>
      </w:r>
    </w:p>
    <w:p>
      <w:r>
        <w:t>The Naranjo Algorithm, also known as the Naranjo Adverse Drug Reaction Probability Scale, is a structured questionnaire used to estimate the probability that an adverse event is related to a particular drug. It consists of 10 questions, with each response assigned a numerical score.</w:t>
      </w:r>
    </w:p>
    <w:tbl>
      <w:tblPr>
        <w:tblStyle w:val="TableGrid"/>
        <w:tblW w:type="auto" w:w="0"/>
        <w:jc w:val="center"/>
        <w:tblLook w:firstColumn="1" w:firstRow="1" w:lastColumn="0" w:lastRow="0" w:noHBand="0" w:noVBand="1" w:val="04A0"/>
      </w:tblPr>
      <w:tblGrid>
        <w:gridCol w:w="2002"/>
        <w:gridCol w:w="2002"/>
        <w:gridCol w:w="2002"/>
        <w:gridCol w:w="2002"/>
        <w:gridCol w:w="2002"/>
      </w:tblGrid>
      <w:tr>
        <w:tc>
          <w:tcPr>
            <w:tcW w:type="dxa" w:w="2002"/>
            <w:vAlign w:val="center"/>
            <w:shd w:fill="D9EAF7"/>
          </w:tcPr>
          <w:p>
            <w:pPr>
              <w:spacing w:after="40"/>
            </w:pPr>
            <w:r/>
            <w:r>
              <w:rPr>
                <w:rFonts w:ascii="Aptos" w:hAnsi="Aptos"/>
                <w:b/>
                <w:sz w:val="17"/>
              </w:rPr>
              <w:t>No.</w:t>
            </w:r>
          </w:p>
        </w:tc>
        <w:tc>
          <w:tcPr>
            <w:tcW w:type="dxa" w:w="2002"/>
            <w:vAlign w:val="center"/>
            <w:shd w:fill="D9EAF7"/>
          </w:tcPr>
          <w:p>
            <w:pPr>
              <w:spacing w:after="40"/>
            </w:pPr>
            <w:r/>
            <w:r>
              <w:rPr>
                <w:rFonts w:ascii="Aptos" w:hAnsi="Aptos"/>
                <w:b/>
                <w:sz w:val="17"/>
              </w:rPr>
              <w:t>Question</w:t>
            </w:r>
          </w:p>
        </w:tc>
        <w:tc>
          <w:tcPr>
            <w:tcW w:type="dxa" w:w="2002"/>
            <w:vAlign w:val="center"/>
            <w:shd w:fill="D9EAF7"/>
          </w:tcPr>
          <w:p>
            <w:pPr>
              <w:spacing w:after="40"/>
            </w:pPr>
            <w:r/>
            <w:r>
              <w:rPr>
                <w:rFonts w:ascii="Aptos" w:hAnsi="Aptos"/>
                <w:b/>
                <w:sz w:val="17"/>
              </w:rPr>
              <w:t>Yes</w:t>
            </w:r>
          </w:p>
        </w:tc>
        <w:tc>
          <w:tcPr>
            <w:tcW w:type="dxa" w:w="2002"/>
            <w:vAlign w:val="center"/>
            <w:shd w:fill="D9EAF7"/>
          </w:tcPr>
          <w:p>
            <w:pPr>
              <w:spacing w:after="40"/>
            </w:pPr>
            <w:r/>
            <w:r>
              <w:rPr>
                <w:rFonts w:ascii="Aptos" w:hAnsi="Aptos"/>
                <w:b/>
                <w:sz w:val="17"/>
              </w:rPr>
              <w:t>No</w:t>
            </w:r>
          </w:p>
        </w:tc>
        <w:tc>
          <w:tcPr>
            <w:tcW w:type="dxa" w:w="2002"/>
            <w:vAlign w:val="center"/>
            <w:shd w:fill="D9EAF7"/>
          </w:tcPr>
          <w:p>
            <w:pPr>
              <w:spacing w:after="40"/>
            </w:pPr>
            <w:r/>
            <w:r>
              <w:rPr>
                <w:rFonts w:ascii="Aptos" w:hAnsi="Aptos"/>
                <w:b/>
                <w:sz w:val="17"/>
              </w:rPr>
              <w:t>Don't Know</w:t>
            </w:r>
          </w:p>
        </w:tc>
      </w:tr>
      <w:tr>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Previous conclusive reports on this reaction?</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2</w:t>
            </w:r>
          </w:p>
        </w:tc>
        <w:tc>
          <w:tcPr>
            <w:tcW w:type="dxa" w:w="2002"/>
            <w:vAlign w:val="center"/>
          </w:tcPr>
          <w:p>
            <w:pPr>
              <w:spacing w:after="40"/>
            </w:pPr>
            <w:r/>
            <w:r>
              <w:rPr>
                <w:rFonts w:ascii="Aptos" w:hAnsi="Aptos"/>
                <w:b w:val="0"/>
                <w:sz w:val="17"/>
              </w:rPr>
              <w:t>Did the event appear after the suspected drug was administered?</w:t>
            </w:r>
          </w:p>
        </w:tc>
        <w:tc>
          <w:tcPr>
            <w:tcW w:type="dxa" w:w="2002"/>
            <w:vAlign w:val="center"/>
          </w:tcPr>
          <w:p>
            <w:pPr>
              <w:spacing w:after="40"/>
            </w:pPr>
            <w:r/>
            <w:r>
              <w:rPr>
                <w:rFonts w:ascii="Aptos" w:hAnsi="Aptos"/>
                <w:b w:val="0"/>
                <w:sz w:val="17"/>
              </w:rPr>
              <w:t>+2</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3</w:t>
            </w:r>
          </w:p>
        </w:tc>
        <w:tc>
          <w:tcPr>
            <w:tcW w:type="dxa" w:w="2002"/>
            <w:vAlign w:val="center"/>
          </w:tcPr>
          <w:p>
            <w:pPr>
              <w:spacing w:after="40"/>
            </w:pPr>
            <w:r/>
            <w:r>
              <w:rPr>
                <w:rFonts w:ascii="Aptos" w:hAnsi="Aptos"/>
                <w:b w:val="0"/>
                <w:sz w:val="17"/>
              </w:rPr>
              <w:t>Did the reaction improve after discontinuation or a specific antagonist?</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4</w:t>
            </w:r>
          </w:p>
        </w:tc>
        <w:tc>
          <w:tcPr>
            <w:tcW w:type="dxa" w:w="2002"/>
            <w:vAlign w:val="center"/>
          </w:tcPr>
          <w:p>
            <w:pPr>
              <w:spacing w:after="40"/>
            </w:pPr>
            <w:r/>
            <w:r>
              <w:rPr>
                <w:rFonts w:ascii="Aptos" w:hAnsi="Aptos"/>
                <w:b w:val="0"/>
                <w:sz w:val="17"/>
              </w:rPr>
              <w:t>Did the reaction reappear on readministration?</w:t>
            </w:r>
          </w:p>
        </w:tc>
        <w:tc>
          <w:tcPr>
            <w:tcW w:type="dxa" w:w="2002"/>
            <w:vAlign w:val="center"/>
          </w:tcPr>
          <w:p>
            <w:pPr>
              <w:spacing w:after="40"/>
            </w:pPr>
            <w:r/>
            <w:r>
              <w:rPr>
                <w:rFonts w:ascii="Aptos" w:hAnsi="Aptos"/>
                <w:b w:val="0"/>
                <w:sz w:val="17"/>
              </w:rPr>
              <w:t>+2</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5</w:t>
            </w:r>
          </w:p>
        </w:tc>
        <w:tc>
          <w:tcPr>
            <w:tcW w:type="dxa" w:w="2002"/>
            <w:vAlign w:val="center"/>
          </w:tcPr>
          <w:p>
            <w:pPr>
              <w:spacing w:after="40"/>
            </w:pPr>
            <w:r/>
            <w:r>
              <w:rPr>
                <w:rFonts w:ascii="Aptos" w:hAnsi="Aptos"/>
                <w:b w:val="0"/>
                <w:sz w:val="17"/>
              </w:rPr>
              <w:t>Are there alternative causes that could have caused the reaction?</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+2</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6</w:t>
            </w:r>
          </w:p>
        </w:tc>
        <w:tc>
          <w:tcPr>
            <w:tcW w:type="dxa" w:w="2002"/>
            <w:vAlign w:val="center"/>
          </w:tcPr>
          <w:p>
            <w:pPr>
              <w:spacing w:after="40"/>
            </w:pPr>
            <w:r/>
            <w:r>
              <w:rPr>
                <w:rFonts w:ascii="Aptos" w:hAnsi="Aptos"/>
                <w:b w:val="0"/>
                <w:sz w:val="17"/>
              </w:rPr>
              <w:t>Did the reaction reappear when a placebo was given?</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7</w:t>
            </w:r>
          </w:p>
        </w:tc>
        <w:tc>
          <w:tcPr>
            <w:tcW w:type="dxa" w:w="2002"/>
            <w:vAlign w:val="center"/>
          </w:tcPr>
          <w:p>
            <w:pPr>
              <w:spacing w:after="40"/>
            </w:pPr>
            <w:r/>
            <w:r>
              <w:rPr>
                <w:rFonts w:ascii="Aptos" w:hAnsi="Aptos"/>
                <w:b w:val="0"/>
                <w:sz w:val="17"/>
              </w:rPr>
              <w:t>Was the drug detected in blood/body fluids at a toxic concentration?</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8</w:t>
            </w:r>
          </w:p>
        </w:tc>
        <w:tc>
          <w:tcPr>
            <w:tcW w:type="dxa" w:w="2002"/>
            <w:vAlign w:val="center"/>
          </w:tcPr>
          <w:p>
            <w:pPr>
              <w:spacing w:after="40"/>
            </w:pPr>
            <w:r/>
            <w:r>
              <w:rPr>
                <w:rFonts w:ascii="Aptos" w:hAnsi="Aptos"/>
                <w:b w:val="0"/>
                <w:sz w:val="17"/>
              </w:rPr>
              <w:t>Was the reaction more severe with increased dose or less severe with decreased dose?</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9</w:t>
            </w:r>
          </w:p>
        </w:tc>
        <w:tc>
          <w:tcPr>
            <w:tcW w:type="dxa" w:w="2002"/>
            <w:vAlign w:val="center"/>
          </w:tcPr>
          <w:p>
            <w:pPr>
              <w:spacing w:after="40"/>
            </w:pPr>
            <w:r/>
            <w:r>
              <w:rPr>
                <w:rFonts w:ascii="Aptos" w:hAnsi="Aptos"/>
                <w:b w:val="0"/>
                <w:sz w:val="17"/>
              </w:rPr>
              <w:t>Did the patient have a similar reaction to the same/similar drugs previously?</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c>
          <w:tcPr>
            <w:tcW w:type="dxa" w:w="2002"/>
            <w:vAlign w:val="center"/>
          </w:tcPr>
          <w:p>
            <w:pPr>
              <w:spacing w:after="40"/>
            </w:pPr>
            <w:r/>
            <w:r>
              <w:rPr>
                <w:rFonts w:ascii="Aptos" w:hAnsi="Aptos"/>
                <w:b w:val="0"/>
                <w:sz w:val="17"/>
              </w:rPr>
              <w:t>0</w:t>
            </w:r>
          </w:p>
        </w:tc>
      </w:tr>
      <w:tr>
        <w:tc>
          <w:tcPr>
            <w:tcW w:type="dxa" w:w="2002"/>
            <w:vAlign w:val="center"/>
          </w:tcPr>
          <w:p>
            <w:pPr>
              <w:spacing w:after="40"/>
            </w:pPr>
            <w:r/>
            <w:r>
              <w:rPr>
                <w:rFonts w:ascii="Aptos" w:hAnsi="Aptos"/>
                <w:b w:val="0"/>
                <w:sz w:val="17"/>
              </w:rPr>
              <w:t>10</w:t>
            </w:r>
          </w:p>
        </w:tc>
        <w:tc>
          <w:tcPr>
            <w:tcW w:type="dxa" w:w="2002"/>
            <w:vAlign w:val="center"/>
          </w:tcPr>
          <w:p>
            <w:pPr>
              <w:spacing w:after="40"/>
            </w:pPr>
            <w:r/>
            <w:r>
              <w:rPr>
                <w:rFonts w:ascii="Aptos" w:hAnsi="Aptos"/>
                <w:b w:val="0"/>
                <w:sz w:val="17"/>
              </w:rPr>
              <w:t>Was the adverse event confirmed by objective evidence?</w:t>
            </w:r>
          </w:p>
        </w:tc>
        <w:tc>
          <w:tcPr>
            <w:tcW w:type="dxa" w:w="2002"/>
            <w:vAlign w:val="center"/>
          </w:tcPr>
          <w:p>
            <w:pPr>
              <w:spacing w:after="40"/>
            </w:pPr>
            <w:r/>
            <w:r>
              <w:rPr>
                <w:rFonts w:ascii="Aptos" w:hAnsi="Aptos"/>
                <w:b w:val="0"/>
                <w:sz w:val="17"/>
              </w:rPr>
              <w:t>+1</w:t>
            </w:r>
          </w:p>
        </w:tc>
        <w:tc>
          <w:tcPr>
            <w:tcW w:type="dxa" w:w="2002"/>
            <w:vAlign w:val="center"/>
          </w:tcPr>
          <w:p>
            <w:pPr>
              <w:spacing w:after="40"/>
            </w:pPr>
            <w:r/>
            <w:r>
              <w:rPr>
                <w:rFonts w:ascii="Aptos" w:hAnsi="Aptos"/>
                <w:b w:val="0"/>
                <w:sz w:val="17"/>
              </w:rPr>
              <w:t>0</w:t>
            </w:r>
          </w:p>
        </w:tc>
        <w:tc>
          <w:tcPr>
            <w:tcW w:type="dxa" w:w="2002"/>
            <w:vAlign w:val="center"/>
          </w:tcPr>
          <w:p>
            <w:pPr>
              <w:spacing w:after="40"/>
            </w:pPr>
            <w:r/>
            <w:r>
              <w:rPr>
                <w:rFonts w:ascii="Aptos" w:hAnsi="Aptos"/>
                <w:b w:val="0"/>
                <w:sz w:val="17"/>
              </w:rPr>
              <w:t>0</w:t>
            </w:r>
          </w:p>
        </w:tc>
      </w:tr>
    </w:tbl>
    <w:p>
      <w:pPr>
        <w:spacing w:after="40"/>
      </w:pPr>
    </w:p>
    <w:p>
      <w:pPr>
        <w:pStyle w:val="Heading2"/>
        <w:keepNext/>
      </w:pPr>
      <w:r>
        <w:t>6.1 Interpretation of Naranjo Score</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D9EAF7"/>
          </w:tcPr>
          <w:p>
            <w:pPr>
              <w:spacing w:after="40"/>
            </w:pPr>
            <w:r/>
            <w:r>
              <w:rPr>
                <w:rFonts w:ascii="Aptos" w:hAnsi="Aptos"/>
                <w:b/>
                <w:sz w:val="17"/>
              </w:rPr>
              <w:t>Total score</w:t>
            </w:r>
          </w:p>
        </w:tc>
        <w:tc>
          <w:tcPr>
            <w:tcW w:type="dxa" w:w="5004"/>
            <w:vAlign w:val="center"/>
            <w:shd w:fill="D9EAF7"/>
          </w:tcPr>
          <w:p>
            <w:pPr>
              <w:spacing w:after="40"/>
            </w:pPr>
            <w:r/>
            <w:r>
              <w:rPr>
                <w:rFonts w:ascii="Aptos" w:hAnsi="Aptos"/>
                <w:b/>
                <w:sz w:val="17"/>
              </w:rPr>
              <w:t>Interpretation</w:t>
            </w:r>
          </w:p>
        </w:tc>
      </w:tr>
      <w:tr>
        <w:tc>
          <w:tcPr>
            <w:tcW w:type="dxa" w:w="5004"/>
            <w:vAlign w:val="center"/>
          </w:tcPr>
          <w:p>
            <w:pPr>
              <w:spacing w:after="40"/>
            </w:pPr>
            <w:r/>
            <w:r>
              <w:rPr>
                <w:rFonts w:ascii="Aptos" w:hAnsi="Aptos"/>
                <w:b w:val="0"/>
                <w:sz w:val="17"/>
              </w:rPr>
              <w:t>≥ 9</w:t>
            </w:r>
          </w:p>
        </w:tc>
        <w:tc>
          <w:tcPr>
            <w:tcW w:type="dxa" w:w="5004"/>
            <w:vAlign w:val="center"/>
          </w:tcPr>
          <w:p>
            <w:pPr>
              <w:spacing w:after="40"/>
            </w:pPr>
            <w:r/>
            <w:r>
              <w:rPr>
                <w:rFonts w:ascii="Aptos" w:hAnsi="Aptos"/>
                <w:b w:val="0"/>
                <w:sz w:val="17"/>
              </w:rPr>
              <w:t>Definite</w:t>
            </w:r>
          </w:p>
        </w:tc>
      </w:tr>
      <w:tr>
        <w:tc>
          <w:tcPr>
            <w:tcW w:type="dxa" w:w="5004"/>
            <w:vAlign w:val="center"/>
          </w:tcPr>
          <w:p>
            <w:pPr>
              <w:spacing w:after="40"/>
            </w:pPr>
            <w:r/>
            <w:r>
              <w:rPr>
                <w:rFonts w:ascii="Aptos" w:hAnsi="Aptos"/>
                <w:b w:val="0"/>
                <w:sz w:val="17"/>
              </w:rPr>
              <w:t>5–8</w:t>
            </w:r>
          </w:p>
        </w:tc>
        <w:tc>
          <w:tcPr>
            <w:tcW w:type="dxa" w:w="5004"/>
            <w:vAlign w:val="center"/>
          </w:tcPr>
          <w:p>
            <w:pPr>
              <w:spacing w:after="40"/>
            </w:pPr>
            <w:r/>
            <w:r>
              <w:rPr>
                <w:rFonts w:ascii="Aptos" w:hAnsi="Aptos"/>
                <w:b w:val="0"/>
                <w:sz w:val="17"/>
              </w:rPr>
              <w:t>Probable</w:t>
            </w:r>
          </w:p>
        </w:tc>
      </w:tr>
      <w:tr>
        <w:tc>
          <w:tcPr>
            <w:tcW w:type="dxa" w:w="5004"/>
            <w:vAlign w:val="center"/>
          </w:tcPr>
          <w:p>
            <w:pPr>
              <w:spacing w:after="40"/>
            </w:pPr>
            <w:r/>
            <w:r>
              <w:rPr>
                <w:rFonts w:ascii="Aptos" w:hAnsi="Aptos"/>
                <w:b w:val="0"/>
                <w:sz w:val="17"/>
              </w:rPr>
              <w:t>1–4</w:t>
            </w:r>
          </w:p>
        </w:tc>
        <w:tc>
          <w:tcPr>
            <w:tcW w:type="dxa" w:w="5004"/>
            <w:vAlign w:val="center"/>
          </w:tcPr>
          <w:p>
            <w:pPr>
              <w:spacing w:after="40"/>
            </w:pPr>
            <w:r/>
            <w:r>
              <w:rPr>
                <w:rFonts w:ascii="Aptos" w:hAnsi="Aptos"/>
                <w:b w:val="0"/>
                <w:sz w:val="17"/>
              </w:rPr>
              <w:t>Possible</w:t>
            </w:r>
          </w:p>
        </w:tc>
      </w:tr>
      <w:tr>
        <w:tc>
          <w:tcPr>
            <w:tcW w:type="dxa" w:w="5004"/>
            <w:vAlign w:val="center"/>
          </w:tcPr>
          <w:p>
            <w:pPr>
              <w:spacing w:after="40"/>
            </w:pPr>
            <w:r/>
            <w:r>
              <w:rPr>
                <w:rFonts w:ascii="Aptos" w:hAnsi="Aptos"/>
                <w:b w:val="0"/>
                <w:sz w:val="17"/>
              </w:rPr>
              <w:t>≤ 0</w:t>
            </w:r>
          </w:p>
        </w:tc>
        <w:tc>
          <w:tcPr>
            <w:tcW w:type="dxa" w:w="5004"/>
            <w:vAlign w:val="center"/>
          </w:tcPr>
          <w:p>
            <w:pPr>
              <w:spacing w:after="40"/>
            </w:pPr>
            <w:r/>
            <w:r>
              <w:rPr>
                <w:rFonts w:ascii="Aptos" w:hAnsi="Aptos"/>
                <w:b w:val="0"/>
                <w:sz w:val="17"/>
              </w:rPr>
              <w:t>Doubtful</w:t>
            </w:r>
          </w:p>
        </w:tc>
      </w:tr>
    </w:tbl>
    <w:p>
      <w:pPr>
        <w:spacing w:after="40"/>
      </w:pPr>
    </w:p>
    <w:p>
      <w:pPr>
        <w:pStyle w:val="Heading2"/>
        <w:keepNext/>
      </w:pPr>
      <w:r>
        <w:t>6.2 Example: Amoxicillin-induced Rash</w:t>
      </w:r>
    </w:p>
    <w:p>
      <w:r>
        <w:t>Suppose a patient develops a rash after receiving amoxicillin. If the reaction is known, appeared after administration, improved after withdrawal, has no convincing alternative cause and is supported by clinical evidence, the calculated score may fall within the probable range. For example, a score of 7 would classify the reaction as Probable.</w:t>
      </w:r>
    </w:p>
    <w:tbl>
      <w:tblPr>
        <w:tblStyle w:val="TableGrid"/>
        <w:tblW w:type="auto" w:w="0"/>
        <w:jc w:val="center"/>
        <w:tblLook w:firstColumn="1" w:firstRow="1" w:lastColumn="0" w:lastRow="0" w:noHBand="0" w:noVBand="1" w:val="04A0"/>
      </w:tblPr>
      <w:tblGrid>
        <w:gridCol w:w="10008"/>
      </w:tblGrid>
      <w:tr>
        <w:tc>
          <w:tcPr>
            <w:tcW w:type="dxa" w:w="10008"/>
            <w:shd w:fill="F2F6FA"/>
          </w:tcPr>
          <w:p>
            <w:r/>
            <w:r>
              <w:rPr>
                <w:b/>
                <w:color w:val="1F4E79"/>
                <w:sz w:val="20"/>
              </w:rPr>
              <w:t>Remember</w:t>
              <w:br/>
            </w:r>
            <w:r>
              <w:rPr>
                <w:sz w:val="19"/>
              </w:rPr>
              <w:t>The Naranjo score is a structured probability estimate. It should be interpreted alongside the patient's clinical history and available evidence.</w:t>
            </w:r>
          </w:p>
        </w:tc>
      </w:tr>
    </w:tbl>
    <w:p>
      <w:pPr>
        <w:spacing w:after="40"/>
      </w:pPr>
    </w:p>
    <w:p>
      <w:pPr>
        <w:pStyle w:val="Heading1"/>
        <w:keepNext/>
      </w:pPr>
      <w:r>
        <w:t>7. WHO-UMC Causality Assessment System</w:t>
      </w:r>
    </w:p>
    <w:p>
      <w:r>
        <w:t>The WHO-UMC system provides a structured clinical assessment of the relationship between a suspected medicine and an adverse event. Unlike the Naranjo Algorithm, it does not primarily depend on a numerical score. It considers timing, alternative explanations, response to withdrawal, and—when available—rechallenge.</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D9EAF7"/>
          </w:tcPr>
          <w:p>
            <w:pPr>
              <w:spacing w:after="40"/>
            </w:pPr>
            <w:r/>
            <w:r>
              <w:rPr>
                <w:rFonts w:ascii="Aptos" w:hAnsi="Aptos"/>
                <w:b/>
                <w:sz w:val="17"/>
              </w:rPr>
              <w:t>Category</w:t>
            </w:r>
          </w:p>
        </w:tc>
        <w:tc>
          <w:tcPr>
            <w:tcW w:type="dxa" w:w="5004"/>
            <w:vAlign w:val="center"/>
            <w:shd w:fill="D9EAF7"/>
          </w:tcPr>
          <w:p>
            <w:pPr>
              <w:spacing w:after="40"/>
            </w:pPr>
            <w:r/>
            <w:r>
              <w:rPr>
                <w:rFonts w:ascii="Aptos" w:hAnsi="Aptos"/>
                <w:b/>
                <w:sz w:val="17"/>
              </w:rPr>
              <w:t>General criteria</w:t>
            </w:r>
          </w:p>
        </w:tc>
      </w:tr>
      <w:tr>
        <w:tc>
          <w:tcPr>
            <w:tcW w:type="dxa" w:w="5004"/>
            <w:vAlign w:val="center"/>
          </w:tcPr>
          <w:p>
            <w:pPr>
              <w:spacing w:after="40"/>
            </w:pPr>
            <w:r/>
            <w:r>
              <w:rPr>
                <w:rFonts w:ascii="Aptos" w:hAnsi="Aptos"/>
                <w:b w:val="0"/>
                <w:sz w:val="17"/>
              </w:rPr>
              <w:t>Certain</w:t>
            </w:r>
          </w:p>
        </w:tc>
        <w:tc>
          <w:tcPr>
            <w:tcW w:type="dxa" w:w="5004"/>
            <w:vAlign w:val="center"/>
          </w:tcPr>
          <w:p>
            <w:pPr>
              <w:spacing w:after="40"/>
            </w:pPr>
            <w:r/>
            <w:r>
              <w:rPr>
                <w:rFonts w:ascii="Aptos" w:hAnsi="Aptos"/>
                <w:b w:val="0"/>
                <w:sz w:val="17"/>
              </w:rPr>
              <w:t>Plausible time relationship; cannot reasonably be explained by disease or other drugs; response to withdrawal is plausible; event is definitive pharmacologically or phenomenologically.</w:t>
            </w:r>
          </w:p>
        </w:tc>
      </w:tr>
      <w:tr>
        <w:tc>
          <w:tcPr>
            <w:tcW w:type="dxa" w:w="5004"/>
            <w:vAlign w:val="center"/>
          </w:tcPr>
          <w:p>
            <w:pPr>
              <w:spacing w:after="40"/>
            </w:pPr>
            <w:r/>
            <w:r>
              <w:rPr>
                <w:rFonts w:ascii="Aptos" w:hAnsi="Aptos"/>
                <w:b w:val="0"/>
                <w:sz w:val="17"/>
              </w:rPr>
              <w:t>Probable/Likely</w:t>
            </w:r>
          </w:p>
        </w:tc>
        <w:tc>
          <w:tcPr>
            <w:tcW w:type="dxa" w:w="5004"/>
            <w:vAlign w:val="center"/>
          </w:tcPr>
          <w:p>
            <w:pPr>
              <w:spacing w:after="40"/>
            </w:pPr>
            <w:r/>
            <w:r>
              <w:rPr>
                <w:rFonts w:ascii="Aptos" w:hAnsi="Aptos"/>
                <w:b w:val="0"/>
                <w:sz w:val="17"/>
              </w:rPr>
              <w:t>Reasonable time relationship; unlikely to be explained by disease or other drugs; clinically reasonable response to withdrawal; rechallenge is not required.</w:t>
            </w:r>
          </w:p>
        </w:tc>
      </w:tr>
      <w:tr>
        <w:tc>
          <w:tcPr>
            <w:tcW w:type="dxa" w:w="5004"/>
            <w:vAlign w:val="center"/>
          </w:tcPr>
          <w:p>
            <w:pPr>
              <w:spacing w:after="40"/>
            </w:pPr>
            <w:r/>
            <w:r>
              <w:rPr>
                <w:rFonts w:ascii="Aptos" w:hAnsi="Aptos"/>
                <w:b w:val="0"/>
                <w:sz w:val="17"/>
              </w:rPr>
              <w:t>Possible</w:t>
            </w:r>
          </w:p>
        </w:tc>
        <w:tc>
          <w:tcPr>
            <w:tcW w:type="dxa" w:w="5004"/>
            <w:vAlign w:val="center"/>
          </w:tcPr>
          <w:p>
            <w:pPr>
              <w:spacing w:after="40"/>
            </w:pPr>
            <w:r/>
            <w:r>
              <w:rPr>
                <w:rFonts w:ascii="Aptos" w:hAnsi="Aptos"/>
                <w:b w:val="0"/>
                <w:sz w:val="17"/>
              </w:rPr>
              <w:t>Reasonable time relationship, but the event could also be explained by disease or other drugs; withdrawal information may be lacking or unclear.</w:t>
            </w:r>
          </w:p>
        </w:tc>
      </w:tr>
      <w:tr>
        <w:tc>
          <w:tcPr>
            <w:tcW w:type="dxa" w:w="5004"/>
            <w:vAlign w:val="center"/>
          </w:tcPr>
          <w:p>
            <w:pPr>
              <w:spacing w:after="40"/>
            </w:pPr>
            <w:r/>
            <w:r>
              <w:rPr>
                <w:rFonts w:ascii="Aptos" w:hAnsi="Aptos"/>
                <w:b w:val="0"/>
                <w:sz w:val="17"/>
              </w:rPr>
              <w:t>Unlikely</w:t>
            </w:r>
          </w:p>
        </w:tc>
        <w:tc>
          <w:tcPr>
            <w:tcW w:type="dxa" w:w="5004"/>
            <w:vAlign w:val="center"/>
          </w:tcPr>
          <w:p>
            <w:pPr>
              <w:spacing w:after="40"/>
            </w:pPr>
            <w:r/>
            <w:r>
              <w:rPr>
                <w:rFonts w:ascii="Aptos" w:hAnsi="Aptos"/>
                <w:b w:val="0"/>
                <w:sz w:val="17"/>
              </w:rPr>
              <w:t>Timing makes a drug relationship improbable, while disease or other drugs provide plausible explanations.</w:t>
            </w:r>
          </w:p>
        </w:tc>
      </w:tr>
      <w:tr>
        <w:tc>
          <w:tcPr>
            <w:tcW w:type="dxa" w:w="5004"/>
            <w:vAlign w:val="center"/>
          </w:tcPr>
          <w:p>
            <w:pPr>
              <w:spacing w:after="40"/>
            </w:pPr>
            <w:r/>
            <w:r>
              <w:rPr>
                <w:rFonts w:ascii="Aptos" w:hAnsi="Aptos"/>
                <w:b w:val="0"/>
                <w:sz w:val="17"/>
              </w:rPr>
              <w:t>Conditional/Unclassified</w:t>
            </w:r>
          </w:p>
        </w:tc>
        <w:tc>
          <w:tcPr>
            <w:tcW w:type="dxa" w:w="5004"/>
            <w:vAlign w:val="center"/>
          </w:tcPr>
          <w:p>
            <w:pPr>
              <w:spacing w:after="40"/>
            </w:pPr>
            <w:r/>
            <w:r>
              <w:rPr>
                <w:rFonts w:ascii="Aptos" w:hAnsi="Aptos"/>
                <w:b w:val="0"/>
                <w:sz w:val="17"/>
              </w:rPr>
              <w:t>More information is required for proper assessment or additional information is still being evaluated.</w:t>
            </w:r>
          </w:p>
        </w:tc>
      </w:tr>
      <w:tr>
        <w:tc>
          <w:tcPr>
            <w:tcW w:type="dxa" w:w="5004"/>
            <w:vAlign w:val="center"/>
          </w:tcPr>
          <w:p>
            <w:pPr>
              <w:spacing w:after="40"/>
            </w:pPr>
            <w:r/>
            <w:r>
              <w:rPr>
                <w:rFonts w:ascii="Aptos" w:hAnsi="Aptos"/>
                <w:b w:val="0"/>
                <w:sz w:val="17"/>
              </w:rPr>
              <w:t>Unassessable/Unclassifiable</w:t>
            </w:r>
          </w:p>
        </w:tc>
        <w:tc>
          <w:tcPr>
            <w:tcW w:type="dxa" w:w="5004"/>
            <w:vAlign w:val="center"/>
          </w:tcPr>
          <w:p>
            <w:pPr>
              <w:spacing w:after="40"/>
            </w:pPr>
            <w:r/>
            <w:r>
              <w:rPr>
                <w:rFonts w:ascii="Aptos" w:hAnsi="Aptos"/>
                <w:b w:val="0"/>
                <w:sz w:val="17"/>
              </w:rPr>
              <w:t>Information is insufficient or contradictory and cannot be supplemented or verified.</w:t>
            </w:r>
          </w:p>
        </w:tc>
      </w:tr>
    </w:tbl>
    <w:p>
      <w:pPr>
        <w:spacing w:after="40"/>
      </w:pPr>
    </w:p>
    <w:p>
      <w:pPr>
        <w:pStyle w:val="Heading1"/>
        <w:keepNext/>
      </w:pPr>
      <w:r>
        <w:t>8. Naranjo Algorithm vs WHO-UMC System</w:t>
      </w:r>
    </w:p>
    <w:tbl>
      <w:tblPr>
        <w:tblStyle w:val="TableGrid"/>
        <w:tblW w:type="auto" w:w="0"/>
        <w:jc w:val="center"/>
        <w:tblLook w:firstColumn="1" w:firstRow="1" w:lastColumn="0" w:lastRow="0" w:noHBand="0" w:noVBand="1" w:val="04A0"/>
      </w:tblPr>
      <w:tblGrid>
        <w:gridCol w:w="3336"/>
        <w:gridCol w:w="3336"/>
        <w:gridCol w:w="3336"/>
      </w:tblGrid>
      <w:tr>
        <w:tc>
          <w:tcPr>
            <w:tcW w:type="dxa" w:w="3336"/>
            <w:vAlign w:val="center"/>
            <w:shd w:fill="D9EAF7"/>
          </w:tcPr>
          <w:p>
            <w:pPr>
              <w:spacing w:after="40"/>
            </w:pPr>
            <w:r/>
            <w:r>
              <w:rPr>
                <w:rFonts w:ascii="Aptos" w:hAnsi="Aptos"/>
                <w:b/>
                <w:sz w:val="17"/>
              </w:rPr>
              <w:t>Feature</w:t>
            </w:r>
          </w:p>
        </w:tc>
        <w:tc>
          <w:tcPr>
            <w:tcW w:type="dxa" w:w="3336"/>
            <w:vAlign w:val="center"/>
            <w:shd w:fill="D9EAF7"/>
          </w:tcPr>
          <w:p>
            <w:pPr>
              <w:spacing w:after="40"/>
            </w:pPr>
            <w:r/>
            <w:r>
              <w:rPr>
                <w:rFonts w:ascii="Aptos" w:hAnsi="Aptos"/>
                <w:b/>
                <w:sz w:val="17"/>
              </w:rPr>
              <w:t>Naranjo Algorithm</w:t>
            </w:r>
          </w:p>
        </w:tc>
        <w:tc>
          <w:tcPr>
            <w:tcW w:type="dxa" w:w="3336"/>
            <w:vAlign w:val="center"/>
            <w:shd w:fill="D9EAF7"/>
          </w:tcPr>
          <w:p>
            <w:pPr>
              <w:spacing w:after="40"/>
            </w:pPr>
            <w:r/>
            <w:r>
              <w:rPr>
                <w:rFonts w:ascii="Aptos" w:hAnsi="Aptos"/>
                <w:b/>
                <w:sz w:val="17"/>
              </w:rPr>
              <w:t>WHO-UMC System</w:t>
            </w:r>
          </w:p>
        </w:tc>
      </w:tr>
      <w:tr>
        <w:tc>
          <w:tcPr>
            <w:tcW w:type="dxa" w:w="3336"/>
            <w:vAlign w:val="center"/>
          </w:tcPr>
          <w:p>
            <w:pPr>
              <w:spacing w:after="40"/>
            </w:pPr>
            <w:r/>
            <w:r>
              <w:rPr>
                <w:rFonts w:ascii="Aptos" w:hAnsi="Aptos"/>
                <w:b w:val="0"/>
                <w:sz w:val="17"/>
              </w:rPr>
              <w:t>Type</w:t>
            </w:r>
          </w:p>
        </w:tc>
        <w:tc>
          <w:tcPr>
            <w:tcW w:type="dxa" w:w="3336"/>
            <w:vAlign w:val="center"/>
          </w:tcPr>
          <w:p>
            <w:pPr>
              <w:spacing w:after="40"/>
            </w:pPr>
            <w:r/>
            <w:r>
              <w:rPr>
                <w:rFonts w:ascii="Aptos" w:hAnsi="Aptos"/>
                <w:b w:val="0"/>
                <w:sz w:val="17"/>
              </w:rPr>
              <w:t>Structured questionnaire</w:t>
            </w:r>
          </w:p>
        </w:tc>
        <w:tc>
          <w:tcPr>
            <w:tcW w:type="dxa" w:w="3336"/>
            <w:vAlign w:val="center"/>
          </w:tcPr>
          <w:p>
            <w:pPr>
              <w:spacing w:after="40"/>
            </w:pPr>
            <w:r/>
            <w:r>
              <w:rPr>
                <w:rFonts w:ascii="Aptos" w:hAnsi="Aptos"/>
                <w:b w:val="0"/>
                <w:sz w:val="17"/>
              </w:rPr>
              <w:t>Clinical assessment system</w:t>
            </w:r>
          </w:p>
        </w:tc>
      </w:tr>
      <w:tr>
        <w:tc>
          <w:tcPr>
            <w:tcW w:type="dxa" w:w="3336"/>
            <w:vAlign w:val="center"/>
          </w:tcPr>
          <w:p>
            <w:pPr>
              <w:spacing w:after="40"/>
            </w:pPr>
            <w:r/>
            <w:r>
              <w:rPr>
                <w:rFonts w:ascii="Aptos" w:hAnsi="Aptos"/>
                <w:b w:val="0"/>
                <w:sz w:val="17"/>
              </w:rPr>
              <w:t>Main approach</w:t>
            </w:r>
          </w:p>
        </w:tc>
        <w:tc>
          <w:tcPr>
            <w:tcW w:type="dxa" w:w="3336"/>
            <w:vAlign w:val="center"/>
          </w:tcPr>
          <w:p>
            <w:pPr>
              <w:spacing w:after="40"/>
            </w:pPr>
            <w:r/>
            <w:r>
              <w:rPr>
                <w:rFonts w:ascii="Aptos" w:hAnsi="Aptos"/>
                <w:b w:val="0"/>
                <w:sz w:val="17"/>
              </w:rPr>
              <w:t>Numerical scoring</w:t>
            </w:r>
          </w:p>
        </w:tc>
        <w:tc>
          <w:tcPr>
            <w:tcW w:type="dxa" w:w="3336"/>
            <w:vAlign w:val="center"/>
          </w:tcPr>
          <w:p>
            <w:pPr>
              <w:spacing w:after="40"/>
            </w:pPr>
            <w:r/>
            <w:r>
              <w:rPr>
                <w:rFonts w:ascii="Aptos" w:hAnsi="Aptos"/>
                <w:b w:val="0"/>
                <w:sz w:val="17"/>
              </w:rPr>
              <w:t>Clinical judgement using defined criteria</w:t>
            </w:r>
          </w:p>
        </w:tc>
      </w:tr>
      <w:tr>
        <w:tc>
          <w:tcPr>
            <w:tcW w:type="dxa" w:w="3336"/>
            <w:vAlign w:val="center"/>
          </w:tcPr>
          <w:p>
            <w:pPr>
              <w:spacing w:after="40"/>
            </w:pPr>
            <w:r/>
            <w:r>
              <w:rPr>
                <w:rFonts w:ascii="Aptos" w:hAnsi="Aptos"/>
                <w:b w:val="0"/>
                <w:sz w:val="17"/>
              </w:rPr>
              <w:t>Questions</w:t>
            </w:r>
          </w:p>
        </w:tc>
        <w:tc>
          <w:tcPr>
            <w:tcW w:type="dxa" w:w="3336"/>
            <w:vAlign w:val="center"/>
          </w:tcPr>
          <w:p>
            <w:pPr>
              <w:spacing w:after="40"/>
            </w:pPr>
            <w:r/>
            <w:r>
              <w:rPr>
                <w:rFonts w:ascii="Aptos" w:hAnsi="Aptos"/>
                <w:b w:val="0"/>
                <w:sz w:val="17"/>
              </w:rPr>
              <w:t>10 questions</w:t>
            </w:r>
          </w:p>
        </w:tc>
        <w:tc>
          <w:tcPr>
            <w:tcW w:type="dxa" w:w="3336"/>
            <w:vAlign w:val="center"/>
          </w:tcPr>
          <w:p>
            <w:pPr>
              <w:spacing w:after="40"/>
            </w:pPr>
            <w:r/>
            <w:r>
              <w:rPr>
                <w:rFonts w:ascii="Aptos" w:hAnsi="Aptos"/>
                <w:b w:val="0"/>
                <w:sz w:val="17"/>
              </w:rPr>
              <w:t>No fixed numerical questionnaire</w:t>
            </w:r>
          </w:p>
        </w:tc>
      </w:tr>
      <w:tr>
        <w:tc>
          <w:tcPr>
            <w:tcW w:type="dxa" w:w="3336"/>
            <w:vAlign w:val="center"/>
          </w:tcPr>
          <w:p>
            <w:pPr>
              <w:spacing w:after="40"/>
            </w:pPr>
            <w:r/>
            <w:r>
              <w:rPr>
                <w:rFonts w:ascii="Aptos" w:hAnsi="Aptos"/>
                <w:b w:val="0"/>
                <w:sz w:val="17"/>
              </w:rPr>
              <w:t>Output</w:t>
            </w:r>
          </w:p>
        </w:tc>
        <w:tc>
          <w:tcPr>
            <w:tcW w:type="dxa" w:w="3336"/>
            <w:vAlign w:val="center"/>
          </w:tcPr>
          <w:p>
            <w:pPr>
              <w:spacing w:after="40"/>
            </w:pPr>
            <w:r/>
            <w:r>
              <w:rPr>
                <w:rFonts w:ascii="Aptos" w:hAnsi="Aptos"/>
                <w:b w:val="0"/>
                <w:sz w:val="17"/>
              </w:rPr>
              <w:t>Definite, probable, possible, doubtful</w:t>
            </w:r>
          </w:p>
        </w:tc>
        <w:tc>
          <w:tcPr>
            <w:tcW w:type="dxa" w:w="3336"/>
            <w:vAlign w:val="center"/>
          </w:tcPr>
          <w:p>
            <w:pPr>
              <w:spacing w:after="40"/>
            </w:pPr>
            <w:r/>
            <w:r>
              <w:rPr>
                <w:rFonts w:ascii="Aptos" w:hAnsi="Aptos"/>
                <w:b w:val="0"/>
                <w:sz w:val="17"/>
              </w:rPr>
              <w:t>Certain, probable/likely, possible, unlikely, conditional/unclassified, unassessable/unclassifiable</w:t>
            </w:r>
          </w:p>
        </w:tc>
      </w:tr>
      <w:tr>
        <w:tc>
          <w:tcPr>
            <w:tcW w:type="dxa" w:w="3336"/>
            <w:vAlign w:val="center"/>
          </w:tcPr>
          <w:p>
            <w:pPr>
              <w:spacing w:after="40"/>
            </w:pPr>
            <w:r/>
            <w:r>
              <w:rPr>
                <w:rFonts w:ascii="Aptos" w:hAnsi="Aptos"/>
                <w:b w:val="0"/>
                <w:sz w:val="17"/>
              </w:rPr>
              <w:t>Rechallenge</w:t>
            </w:r>
          </w:p>
        </w:tc>
        <w:tc>
          <w:tcPr>
            <w:tcW w:type="dxa" w:w="3336"/>
            <w:vAlign w:val="center"/>
          </w:tcPr>
          <w:p>
            <w:pPr>
              <w:spacing w:after="40"/>
            </w:pPr>
            <w:r/>
            <w:r>
              <w:rPr>
                <w:rFonts w:ascii="Aptos" w:hAnsi="Aptos"/>
                <w:b w:val="0"/>
                <w:sz w:val="17"/>
              </w:rPr>
              <w:t>Considered</w:t>
            </w:r>
          </w:p>
        </w:tc>
        <w:tc>
          <w:tcPr>
            <w:tcW w:type="dxa" w:w="3336"/>
            <w:vAlign w:val="center"/>
          </w:tcPr>
          <w:p>
            <w:pPr>
              <w:spacing w:after="40"/>
            </w:pPr>
            <w:r/>
            <w:r>
              <w:rPr>
                <w:rFonts w:ascii="Aptos" w:hAnsi="Aptos"/>
                <w:b w:val="0"/>
                <w:sz w:val="17"/>
              </w:rPr>
              <w:t>Considered, especially for certain classification</w:t>
            </w:r>
          </w:p>
        </w:tc>
      </w:tr>
      <w:tr>
        <w:tc>
          <w:tcPr>
            <w:tcW w:type="dxa" w:w="3336"/>
            <w:vAlign w:val="center"/>
          </w:tcPr>
          <w:p>
            <w:pPr>
              <w:spacing w:after="40"/>
            </w:pPr>
            <w:r/>
            <w:r>
              <w:rPr>
                <w:rFonts w:ascii="Aptos" w:hAnsi="Aptos"/>
                <w:b w:val="0"/>
                <w:sz w:val="17"/>
              </w:rPr>
              <w:t>Alternative causes</w:t>
            </w:r>
          </w:p>
        </w:tc>
        <w:tc>
          <w:tcPr>
            <w:tcW w:type="dxa" w:w="3336"/>
            <w:vAlign w:val="center"/>
          </w:tcPr>
          <w:p>
            <w:pPr>
              <w:spacing w:after="40"/>
            </w:pPr>
            <w:r/>
            <w:r>
              <w:rPr>
                <w:rFonts w:ascii="Aptos" w:hAnsi="Aptos"/>
                <w:b w:val="0"/>
                <w:sz w:val="17"/>
              </w:rPr>
              <w:t>Specifically scored</w:t>
            </w:r>
          </w:p>
        </w:tc>
        <w:tc>
          <w:tcPr>
            <w:tcW w:type="dxa" w:w="3336"/>
            <w:vAlign w:val="center"/>
          </w:tcPr>
          <w:p>
            <w:pPr>
              <w:spacing w:after="40"/>
            </w:pPr>
            <w:r/>
            <w:r>
              <w:rPr>
                <w:rFonts w:ascii="Aptos" w:hAnsi="Aptos"/>
                <w:b w:val="0"/>
                <w:sz w:val="17"/>
              </w:rPr>
              <w:t>Clinically evaluated</w:t>
            </w:r>
          </w:p>
        </w:tc>
      </w:tr>
      <w:tr>
        <w:tc>
          <w:tcPr>
            <w:tcW w:type="dxa" w:w="3336"/>
            <w:vAlign w:val="center"/>
          </w:tcPr>
          <w:p>
            <w:pPr>
              <w:spacing w:after="40"/>
            </w:pPr>
            <w:r/>
            <w:r>
              <w:rPr>
                <w:rFonts w:ascii="Aptos" w:hAnsi="Aptos"/>
                <w:b w:val="0"/>
                <w:sz w:val="17"/>
              </w:rPr>
              <w:t>Major advantage</w:t>
            </w:r>
          </w:p>
        </w:tc>
        <w:tc>
          <w:tcPr>
            <w:tcW w:type="dxa" w:w="3336"/>
            <w:vAlign w:val="center"/>
          </w:tcPr>
          <w:p>
            <w:pPr>
              <w:spacing w:after="40"/>
            </w:pPr>
            <w:r/>
            <w:r>
              <w:rPr>
                <w:rFonts w:ascii="Aptos" w:hAnsi="Aptos"/>
                <w:b w:val="0"/>
                <w:sz w:val="17"/>
              </w:rPr>
              <w:t>Simple and relatively reproducible</w:t>
            </w:r>
          </w:p>
        </w:tc>
        <w:tc>
          <w:tcPr>
            <w:tcW w:type="dxa" w:w="3336"/>
            <w:vAlign w:val="center"/>
          </w:tcPr>
          <w:p>
            <w:pPr>
              <w:spacing w:after="40"/>
            </w:pPr>
            <w:r/>
            <w:r>
              <w:rPr>
                <w:rFonts w:ascii="Aptos" w:hAnsi="Aptos"/>
                <w:b w:val="0"/>
                <w:sz w:val="17"/>
              </w:rPr>
              <w:t>Flexible and clinically oriented</w:t>
            </w:r>
          </w:p>
        </w:tc>
      </w:tr>
      <w:tr>
        <w:tc>
          <w:tcPr>
            <w:tcW w:type="dxa" w:w="3336"/>
            <w:vAlign w:val="center"/>
          </w:tcPr>
          <w:p>
            <w:pPr>
              <w:spacing w:after="40"/>
            </w:pPr>
            <w:r/>
            <w:r>
              <w:rPr>
                <w:rFonts w:ascii="Aptos" w:hAnsi="Aptos"/>
                <w:b w:val="0"/>
                <w:sz w:val="17"/>
              </w:rPr>
              <w:t>Major limitation</w:t>
            </w:r>
          </w:p>
        </w:tc>
        <w:tc>
          <w:tcPr>
            <w:tcW w:type="dxa" w:w="3336"/>
            <w:vAlign w:val="center"/>
          </w:tcPr>
          <w:p>
            <w:pPr>
              <w:spacing w:after="40"/>
            </w:pPr>
            <w:r/>
            <w:r>
              <w:rPr>
                <w:rFonts w:ascii="Aptos" w:hAnsi="Aptos"/>
                <w:b w:val="0"/>
                <w:sz w:val="17"/>
              </w:rPr>
              <w:t>Some questions may be difficult to answer in spontaneous reports</w:t>
            </w:r>
          </w:p>
        </w:tc>
        <w:tc>
          <w:tcPr>
            <w:tcW w:type="dxa" w:w="3336"/>
            <w:vAlign w:val="center"/>
          </w:tcPr>
          <w:p>
            <w:pPr>
              <w:spacing w:after="40"/>
            </w:pPr>
            <w:r/>
            <w:r>
              <w:rPr>
                <w:rFonts w:ascii="Aptos" w:hAnsi="Aptos"/>
                <w:b w:val="0"/>
                <w:sz w:val="17"/>
              </w:rPr>
              <w:t>Greater dependence on assessor judgement</w:t>
            </w:r>
          </w:p>
        </w:tc>
      </w:tr>
    </w:tbl>
    <w:p>
      <w:pPr>
        <w:spacing w:after="40"/>
      </w:pPr>
    </w:p>
    <w:p>
      <w:pPr>
        <w:pStyle w:val="Heading1"/>
        <w:keepNext/>
      </w:pPr>
      <w:r>
        <w:t>9. Causality Assessment in Spontaneous Reports</w:t>
      </w:r>
    </w:p>
    <w:p>
      <w:r>
        <w:t>Spontaneous reporting is an important source of information in pharmacovigilance. A healthcare professional, patient or other reporter may submit a report when an adverse event is suspected to be associated with a medicinal product. The report represents a suspicion of a causal relationship rather than definitive proof.</w:t>
      </w:r>
    </w:p>
    <w:p>
      <w:pPr>
        <w:pStyle w:val="ListBullet"/>
        <w:spacing w:after="40"/>
      </w:pPr>
      <w:r>
        <w:t>Suspected medicine, dose and route.</w:t>
      </w:r>
    </w:p>
    <w:p>
      <w:pPr>
        <w:pStyle w:val="ListBullet"/>
        <w:spacing w:after="40"/>
      </w:pPr>
      <w:r>
        <w:t>Date of treatment initiation and event onset.</w:t>
      </w:r>
    </w:p>
    <w:p>
      <w:pPr>
        <w:pStyle w:val="ListBullet"/>
        <w:spacing w:after="40"/>
      </w:pPr>
      <w:r>
        <w:t>Nature, severity and outcome of the reaction.</w:t>
      </w:r>
    </w:p>
    <w:p>
      <w:pPr>
        <w:pStyle w:val="ListBullet"/>
        <w:spacing w:after="40"/>
      </w:pPr>
      <w:r>
        <w:t>Patient medical history and concomitant medications.</w:t>
      </w:r>
    </w:p>
    <w:p>
      <w:pPr>
        <w:pStyle w:val="ListBullet"/>
        <w:spacing w:after="40"/>
      </w:pPr>
      <w:r>
        <w:t>Laboratory or diagnostic findings.</w:t>
      </w:r>
    </w:p>
    <w:p>
      <w:pPr>
        <w:pStyle w:val="ListBullet"/>
        <w:spacing w:after="40"/>
      </w:pPr>
      <w:r>
        <w:t>Dechallenge and rechallenge information, when available.</w:t>
      </w:r>
    </w:p>
    <w:p>
      <w:pPr>
        <w:pStyle w:val="ListBullet"/>
        <w:spacing w:after="40"/>
      </w:pPr>
      <w:r>
        <w:t>Other possible causes.</w:t>
      </w:r>
    </w:p>
    <w:p>
      <w:r>
        <w:t>A single spontaneous report generally cannot establish causality by itself. However, multiple reports showing consistent patterns may contribute to signal detection and further safety evaluation.</w:t>
      </w:r>
    </w:p>
    <w:p>
      <w:pPr>
        <w:pStyle w:val="Heading1"/>
        <w:keepNext/>
      </w:pPr>
      <w:r>
        <w:t>10. Causality Assessment of Vaccine-related Events</w:t>
      </w:r>
    </w:p>
    <w:p>
      <w:r>
        <w:t>An Adverse Event Following Immunization (AEFI) is any untoward medical occurrence following immunization that does not necessarily have a causal relationship with the vaccine. An event after vaccination may be related to the vaccine, a quality problem, an immunization error, an anxiety/stress response, or may simply be coincidental.</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D9EAF7"/>
          </w:tcPr>
          <w:p>
            <w:pPr>
              <w:spacing w:after="40"/>
            </w:pPr>
            <w:r/>
            <w:r>
              <w:rPr>
                <w:rFonts w:ascii="Aptos" w:hAnsi="Aptos"/>
                <w:b/>
                <w:sz w:val="17"/>
              </w:rPr>
              <w:t>Possible explanation</w:t>
            </w:r>
          </w:p>
        </w:tc>
        <w:tc>
          <w:tcPr>
            <w:tcW w:type="dxa" w:w="5004"/>
            <w:vAlign w:val="center"/>
            <w:shd w:fill="D9EAF7"/>
          </w:tcPr>
          <w:p>
            <w:pPr>
              <w:spacing w:after="40"/>
            </w:pPr>
            <w:r/>
            <w:r>
              <w:rPr>
                <w:rFonts w:ascii="Aptos" w:hAnsi="Aptos"/>
                <w:b/>
                <w:sz w:val="17"/>
              </w:rPr>
              <w:t>Description</w:t>
            </w:r>
          </w:p>
        </w:tc>
      </w:tr>
      <w:tr>
        <w:tc>
          <w:tcPr>
            <w:tcW w:type="dxa" w:w="5004"/>
            <w:vAlign w:val="center"/>
          </w:tcPr>
          <w:p>
            <w:pPr>
              <w:spacing w:after="40"/>
            </w:pPr>
            <w:r/>
            <w:r>
              <w:rPr>
                <w:rFonts w:ascii="Aptos" w:hAnsi="Aptos"/>
                <w:b w:val="0"/>
                <w:sz w:val="17"/>
              </w:rPr>
              <w:t>Vaccine product-related reaction</w:t>
            </w:r>
          </w:p>
        </w:tc>
        <w:tc>
          <w:tcPr>
            <w:tcW w:type="dxa" w:w="5004"/>
            <w:vAlign w:val="center"/>
          </w:tcPr>
          <w:p>
            <w:pPr>
              <w:spacing w:after="40"/>
            </w:pPr>
            <w:r/>
            <w:r>
              <w:rPr>
                <w:rFonts w:ascii="Aptos" w:hAnsi="Aptos"/>
                <w:b w:val="0"/>
                <w:sz w:val="17"/>
              </w:rPr>
              <w:t>A reaction attributable to the inherent properties of the vaccine.</w:t>
            </w:r>
          </w:p>
        </w:tc>
      </w:tr>
      <w:tr>
        <w:tc>
          <w:tcPr>
            <w:tcW w:type="dxa" w:w="5004"/>
            <w:vAlign w:val="center"/>
          </w:tcPr>
          <w:p>
            <w:pPr>
              <w:spacing w:after="40"/>
            </w:pPr>
            <w:r/>
            <w:r>
              <w:rPr>
                <w:rFonts w:ascii="Aptos" w:hAnsi="Aptos"/>
                <w:b w:val="0"/>
                <w:sz w:val="17"/>
              </w:rPr>
              <w:t>Vaccine quality-related problem</w:t>
            </w:r>
          </w:p>
        </w:tc>
        <w:tc>
          <w:tcPr>
            <w:tcW w:type="dxa" w:w="5004"/>
            <w:vAlign w:val="center"/>
          </w:tcPr>
          <w:p>
            <w:pPr>
              <w:spacing w:after="40"/>
            </w:pPr>
            <w:r/>
            <w:r>
              <w:rPr>
                <w:rFonts w:ascii="Aptos" w:hAnsi="Aptos"/>
                <w:b w:val="0"/>
                <w:sz w:val="17"/>
              </w:rPr>
              <w:t>An event related to a quality defect in the vaccine or device.</w:t>
            </w:r>
          </w:p>
        </w:tc>
      </w:tr>
      <w:tr>
        <w:tc>
          <w:tcPr>
            <w:tcW w:type="dxa" w:w="5004"/>
            <w:vAlign w:val="center"/>
          </w:tcPr>
          <w:p>
            <w:pPr>
              <w:spacing w:after="40"/>
            </w:pPr>
            <w:r/>
            <w:r>
              <w:rPr>
                <w:rFonts w:ascii="Aptos" w:hAnsi="Aptos"/>
                <w:b w:val="0"/>
                <w:sz w:val="17"/>
              </w:rPr>
              <w:t>Immunization error / process-related reaction</w:t>
            </w:r>
          </w:p>
        </w:tc>
        <w:tc>
          <w:tcPr>
            <w:tcW w:type="dxa" w:w="5004"/>
            <w:vAlign w:val="center"/>
          </w:tcPr>
          <w:p>
            <w:pPr>
              <w:spacing w:after="40"/>
            </w:pPr>
            <w:r/>
            <w:r>
              <w:rPr>
                <w:rFonts w:ascii="Aptos" w:hAnsi="Aptos"/>
                <w:b w:val="0"/>
                <w:sz w:val="17"/>
              </w:rPr>
              <w:t>An event associated with incorrect storage, preparation, handling or administration.</w:t>
            </w:r>
          </w:p>
        </w:tc>
      </w:tr>
      <w:tr>
        <w:tc>
          <w:tcPr>
            <w:tcW w:type="dxa" w:w="5004"/>
            <w:vAlign w:val="center"/>
          </w:tcPr>
          <w:p>
            <w:pPr>
              <w:spacing w:after="40"/>
            </w:pPr>
            <w:r/>
            <w:r>
              <w:rPr>
                <w:rFonts w:ascii="Aptos" w:hAnsi="Aptos"/>
                <w:b w:val="0"/>
                <w:sz w:val="17"/>
              </w:rPr>
              <w:t>Immunization anxiety-related reaction</w:t>
            </w:r>
          </w:p>
        </w:tc>
        <w:tc>
          <w:tcPr>
            <w:tcW w:type="dxa" w:w="5004"/>
            <w:vAlign w:val="center"/>
          </w:tcPr>
          <w:p>
            <w:pPr>
              <w:spacing w:after="40"/>
            </w:pPr>
            <w:r/>
            <w:r>
              <w:rPr>
                <w:rFonts w:ascii="Aptos" w:hAnsi="Aptos"/>
                <w:b w:val="0"/>
                <w:sz w:val="17"/>
              </w:rPr>
              <w:t>An event related to anxiety or stress surrounding immunization.</w:t>
            </w:r>
          </w:p>
        </w:tc>
      </w:tr>
      <w:tr>
        <w:tc>
          <w:tcPr>
            <w:tcW w:type="dxa" w:w="5004"/>
            <w:vAlign w:val="center"/>
          </w:tcPr>
          <w:p>
            <w:pPr>
              <w:spacing w:after="40"/>
            </w:pPr>
            <w:r/>
            <w:r>
              <w:rPr>
                <w:rFonts w:ascii="Aptos" w:hAnsi="Aptos"/>
                <w:b w:val="0"/>
                <w:sz w:val="17"/>
              </w:rPr>
              <w:t>Coincidental event</w:t>
            </w:r>
          </w:p>
        </w:tc>
        <w:tc>
          <w:tcPr>
            <w:tcW w:type="dxa" w:w="5004"/>
            <w:vAlign w:val="center"/>
          </w:tcPr>
          <w:p>
            <w:pPr>
              <w:spacing w:after="40"/>
            </w:pPr>
            <w:r/>
            <w:r>
              <w:rPr>
                <w:rFonts w:ascii="Aptos" w:hAnsi="Aptos"/>
                <w:b w:val="0"/>
                <w:sz w:val="17"/>
              </w:rPr>
              <w:t>An event that occurs after immunization but is caused by another factor.</w:t>
            </w:r>
          </w:p>
        </w:tc>
      </w:tr>
    </w:tbl>
    <w:p>
      <w:pPr>
        <w:spacing w:after="40"/>
      </w:pPr>
    </w:p>
    <w:p>
      <w:pPr>
        <w:pStyle w:val="Heading1"/>
        <w:keepNext/>
      </w:pPr>
      <w:r>
        <w:t>11. WHO AEFI Causality Assessment</w:t>
      </w:r>
    </w:p>
    <w:p>
      <w:r>
        <w:t>WHO provides a specialized methodology for assessing serious or otherwise important adverse events following immunization. The approach uses a structured checklist and algorithm to determine whether the available evidence supports a causal association.</w:t>
      </w:r>
    </w:p>
    <w:tbl>
      <w:tblPr>
        <w:tblStyle w:val="TableGrid"/>
        <w:tblW w:type="auto" w:w="0"/>
        <w:jc w:val="center"/>
        <w:tblLook w:firstColumn="1" w:firstRow="1" w:lastColumn="0" w:lastRow="0" w:noHBand="0" w:noVBand="1" w:val="04A0"/>
      </w:tblPr>
      <w:tblGrid>
        <w:gridCol w:w="5004"/>
        <w:gridCol w:w="5004"/>
      </w:tblGrid>
      <w:tr>
        <w:tc>
          <w:tcPr>
            <w:tcW w:type="dxa" w:w="5004"/>
            <w:vAlign w:val="center"/>
            <w:shd w:fill="D9EAF7"/>
          </w:tcPr>
          <w:p>
            <w:pPr>
              <w:spacing w:after="40"/>
            </w:pPr>
            <w:r/>
            <w:r>
              <w:rPr>
                <w:rFonts w:ascii="Aptos" w:hAnsi="Aptos"/>
                <w:b/>
                <w:sz w:val="17"/>
              </w:rPr>
              <w:t>Classification</w:t>
            </w:r>
          </w:p>
        </w:tc>
        <w:tc>
          <w:tcPr>
            <w:tcW w:type="dxa" w:w="5004"/>
            <w:vAlign w:val="center"/>
            <w:shd w:fill="D9EAF7"/>
          </w:tcPr>
          <w:p>
            <w:pPr>
              <w:spacing w:after="40"/>
            </w:pPr>
            <w:r/>
            <w:r>
              <w:rPr>
                <w:rFonts w:ascii="Aptos" w:hAnsi="Aptos"/>
                <w:b/>
                <w:sz w:val="17"/>
              </w:rPr>
              <w:t>Meaning</w:t>
            </w:r>
          </w:p>
        </w:tc>
      </w:tr>
      <w:tr>
        <w:tc>
          <w:tcPr>
            <w:tcW w:type="dxa" w:w="5004"/>
            <w:vAlign w:val="center"/>
          </w:tcPr>
          <w:p>
            <w:pPr>
              <w:spacing w:after="40"/>
            </w:pPr>
            <w:r/>
            <w:r>
              <w:rPr>
                <w:rFonts w:ascii="Aptos" w:hAnsi="Aptos"/>
                <w:b w:val="0"/>
                <w:sz w:val="17"/>
              </w:rPr>
              <w:t>Consistent causal association to immunization</w:t>
            </w:r>
          </w:p>
        </w:tc>
        <w:tc>
          <w:tcPr>
            <w:tcW w:type="dxa" w:w="5004"/>
            <w:vAlign w:val="center"/>
          </w:tcPr>
          <w:p>
            <w:pPr>
              <w:spacing w:after="40"/>
            </w:pPr>
            <w:r/>
            <w:r>
              <w:rPr>
                <w:rFonts w:ascii="Aptos" w:hAnsi="Aptos"/>
                <w:b w:val="0"/>
                <w:sz w:val="17"/>
              </w:rPr>
              <w:t>Available evidence supports a causal relationship.</w:t>
            </w:r>
          </w:p>
        </w:tc>
      </w:tr>
      <w:tr>
        <w:tc>
          <w:tcPr>
            <w:tcW w:type="dxa" w:w="5004"/>
            <w:vAlign w:val="center"/>
          </w:tcPr>
          <w:p>
            <w:pPr>
              <w:spacing w:after="40"/>
            </w:pPr>
            <w:r/>
            <w:r>
              <w:rPr>
                <w:rFonts w:ascii="Aptos" w:hAnsi="Aptos"/>
                <w:b w:val="0"/>
                <w:sz w:val="17"/>
              </w:rPr>
              <w:t>Indeterminate</w:t>
            </w:r>
          </w:p>
        </w:tc>
        <w:tc>
          <w:tcPr>
            <w:tcW w:type="dxa" w:w="5004"/>
            <w:vAlign w:val="center"/>
          </w:tcPr>
          <w:p>
            <w:pPr>
              <w:spacing w:after="40"/>
            </w:pPr>
            <w:r/>
            <w:r>
              <w:rPr>
                <w:rFonts w:ascii="Aptos" w:hAnsi="Aptos"/>
                <w:b w:val="0"/>
                <w:sz w:val="17"/>
              </w:rPr>
              <w:t>Evidence is insufficient or conflicting and does not allow a clear conclusion.</w:t>
            </w:r>
          </w:p>
        </w:tc>
      </w:tr>
      <w:tr>
        <w:tc>
          <w:tcPr>
            <w:tcW w:type="dxa" w:w="5004"/>
            <w:vAlign w:val="center"/>
          </w:tcPr>
          <w:p>
            <w:pPr>
              <w:spacing w:after="40"/>
            </w:pPr>
            <w:r/>
            <w:r>
              <w:rPr>
                <w:rFonts w:ascii="Aptos" w:hAnsi="Aptos"/>
                <w:b w:val="0"/>
                <w:sz w:val="17"/>
              </w:rPr>
              <w:t>Inconsistent causal association to immunization</w:t>
            </w:r>
          </w:p>
        </w:tc>
        <w:tc>
          <w:tcPr>
            <w:tcW w:type="dxa" w:w="5004"/>
            <w:vAlign w:val="center"/>
          </w:tcPr>
          <w:p>
            <w:pPr>
              <w:spacing w:after="40"/>
            </w:pPr>
            <w:r/>
            <w:r>
              <w:rPr>
                <w:rFonts w:ascii="Aptos" w:hAnsi="Aptos"/>
                <w:b w:val="0"/>
                <w:sz w:val="17"/>
              </w:rPr>
              <w:t>Evidence supports another explanation or argues against a causal relationship.</w:t>
            </w:r>
          </w:p>
        </w:tc>
      </w:tr>
      <w:tr>
        <w:tc>
          <w:tcPr>
            <w:tcW w:type="dxa" w:w="5004"/>
            <w:vAlign w:val="center"/>
          </w:tcPr>
          <w:p>
            <w:pPr>
              <w:spacing w:after="40"/>
            </w:pPr>
            <w:r/>
            <w:r>
              <w:rPr>
                <w:rFonts w:ascii="Aptos" w:hAnsi="Aptos"/>
                <w:b w:val="0"/>
                <w:sz w:val="17"/>
              </w:rPr>
              <w:t>Unclassifiable</w:t>
            </w:r>
          </w:p>
        </w:tc>
        <w:tc>
          <w:tcPr>
            <w:tcW w:type="dxa" w:w="5004"/>
            <w:vAlign w:val="center"/>
          </w:tcPr>
          <w:p>
            <w:pPr>
              <w:spacing w:after="40"/>
            </w:pPr>
            <w:r/>
            <w:r>
              <w:rPr>
                <w:rFonts w:ascii="Aptos" w:hAnsi="Aptos"/>
                <w:b w:val="0"/>
                <w:sz w:val="17"/>
              </w:rPr>
              <w:t>Information is insufficient or contradictory for classification.</w:t>
            </w:r>
          </w:p>
        </w:tc>
      </w:tr>
    </w:tbl>
    <w:p>
      <w:pPr>
        <w:spacing w:after="40"/>
      </w:pPr>
    </w:p>
    <w:p>
      <w:pPr>
        <w:pStyle w:val="Heading1"/>
        <w:keepNext/>
      </w:pPr>
      <w:r>
        <w:t>12. Strength of Evidence in Causality Assessment</w:t>
      </w:r>
    </w:p>
    <w:p>
      <w:pPr>
        <w:pStyle w:val="Heading2"/>
        <w:keepNext/>
      </w:pPr>
      <w:r>
        <w:t>12.1 Temporal relationship</w:t>
      </w:r>
    </w:p>
    <w:p>
      <w:r>
        <w:t>The adverse event should occur within a biologically plausible period after exposure to the suspected drug.</w:t>
      </w:r>
    </w:p>
    <w:p>
      <w:pPr>
        <w:pStyle w:val="Heading2"/>
        <w:keepNext/>
      </w:pPr>
      <w:r>
        <w:t>12.2 Biological plausibility</w:t>
      </w:r>
    </w:p>
    <w:p>
      <w:r>
        <w:t>The reaction should be compatible with the known pharmacology or biological mechanism of the medicine.</w:t>
      </w:r>
    </w:p>
    <w:p>
      <w:pPr>
        <w:pStyle w:val="Heading2"/>
        <w:keepNext/>
      </w:pPr>
      <w:r>
        <w:t>12.3 Consistency</w:t>
      </w:r>
    </w:p>
    <w:p>
      <w:r>
        <w:t>Repeated observation of a similar reaction in different patients or studies strengthens causal inference.</w:t>
      </w:r>
    </w:p>
    <w:p>
      <w:pPr>
        <w:pStyle w:val="Heading2"/>
        <w:keepNext/>
      </w:pPr>
      <w:r>
        <w:t>12.4 Specificity</w:t>
      </w:r>
    </w:p>
    <w:p>
      <w:r>
        <w:t>A highly specific relationship can strengthen causal inference, although many ADRs are not specific to one medicine.</w:t>
      </w:r>
    </w:p>
    <w:p>
      <w:pPr>
        <w:pStyle w:val="Heading2"/>
        <w:keepNext/>
      </w:pPr>
      <w:r>
        <w:t>12.5 Dechallenge</w:t>
      </w:r>
    </w:p>
    <w:p>
      <w:r>
        <w:t>Improvement after withdrawal of the suspected medicine can support causality.</w:t>
      </w:r>
    </w:p>
    <w:p>
      <w:pPr>
        <w:pStyle w:val="Heading2"/>
        <w:keepNext/>
      </w:pPr>
      <w:r>
        <w:t>12.6 Rechallenge</w:t>
      </w:r>
    </w:p>
    <w:p>
      <w:r>
        <w:t>Recurrence after re-administration can provide strong evidence, but deliberate rechallenge is generally inappropriate when serious harm could result.</w:t>
      </w:r>
    </w:p>
    <w:p>
      <w:pPr>
        <w:pStyle w:val="Heading1"/>
        <w:keepNext/>
      </w:pPr>
      <w:r>
        <w:t>13. Role of Medical Judgment</w:t>
      </w:r>
    </w:p>
    <w:p>
      <w:r>
        <w:t>Causality assessment tools provide a structured framework, but they do not completely replace clinical expertise. Physicians, pharmacists and trained pharmacovigilance professionals consider the patient history, clinical presentation, drug pharmacology, laboratory investigations, timing, alternative explanations and dechallenge/rechallenge information.</w:t>
      </w:r>
    </w:p>
    <w:tbl>
      <w:tblPr>
        <w:tblStyle w:val="TableGrid"/>
        <w:tblW w:type="auto" w:w="0"/>
        <w:jc w:val="center"/>
        <w:tblLook w:firstColumn="1" w:firstRow="1" w:lastColumn="0" w:lastRow="0" w:noHBand="0" w:noVBand="1" w:val="04A0"/>
      </w:tblPr>
      <w:tblGrid>
        <w:gridCol w:w="10008"/>
      </w:tblGrid>
      <w:tr>
        <w:tc>
          <w:tcPr>
            <w:tcW w:type="dxa" w:w="10008"/>
            <w:shd w:fill="F2F6FA"/>
          </w:tcPr>
          <w:p>
            <w:r/>
            <w:r>
              <w:rPr>
                <w:b/>
                <w:color w:val="1F4E79"/>
                <w:sz w:val="20"/>
              </w:rPr>
              <w:t>Clinical point</w:t>
              <w:br/>
            </w:r>
            <w:r>
              <w:rPr>
                <w:sz w:val="19"/>
              </w:rPr>
              <w:t>The final assessment depends on the quality and completeness of the available information and the expertise of the assessor.</w:t>
            </w:r>
          </w:p>
        </w:tc>
      </w:tr>
    </w:tbl>
    <w:p>
      <w:pPr>
        <w:spacing w:after="40"/>
      </w:pPr>
    </w:p>
    <w:p>
      <w:pPr>
        <w:pStyle w:val="Heading1"/>
        <w:keepNext/>
      </w:pPr>
      <w:r>
        <w:t>14. Automation and Future Scope</w:t>
      </w:r>
    </w:p>
    <w:p>
      <w:r>
        <w:t>Modern pharmacovigilance systems generate large numbers of individual case safety reports. Manual causality assessment can therefore require substantial time and trained personnel. Artificial intelligence and machine learning may support the process by extracting relevant information, identifying temporal relationships, recognizing known drug-event associations and prioritizing complex cases for medical review.</w:t>
      </w:r>
    </w:p>
    <w:p>
      <w:pPr>
        <w:pStyle w:val="ListBullet"/>
        <w:spacing w:after="40"/>
      </w:pPr>
      <w:r>
        <w:t>Natural language processing for case-report information extraction.</w:t>
      </w:r>
    </w:p>
    <w:p>
      <w:pPr>
        <w:pStyle w:val="ListBullet"/>
        <w:spacing w:after="40"/>
      </w:pPr>
      <w:r>
        <w:t>Identification of temporal relationships and known drug-event patterns.</w:t>
      </w:r>
    </w:p>
    <w:p>
      <w:pPr>
        <w:pStyle w:val="ListBullet"/>
        <w:spacing w:after="40"/>
      </w:pPr>
      <w:r>
        <w:t>Case prioritization for expert review.</w:t>
      </w:r>
    </w:p>
    <w:p>
      <w:pPr>
        <w:pStyle w:val="ListBullet"/>
        <w:spacing w:after="40"/>
      </w:pPr>
      <w:r>
        <w:t>Improved consistency and efficiency.</w:t>
      </w:r>
    </w:p>
    <w:p>
      <w:pPr>
        <w:pStyle w:val="ListBullet"/>
        <w:spacing w:after="40"/>
      </w:pPr>
      <w:r>
        <w:t>Support for large-scale pharmacovigilance workflows.</w:t>
      </w:r>
    </w:p>
    <w:p>
      <w:r>
        <w:t>Automated systems should complement rather than blindly replace expert clinical review, particularly for serious, unusual or complex adverse events.</w:t>
      </w:r>
    </w:p>
    <w:p>
      <w:pPr>
        <w:pStyle w:val="Heading1"/>
        <w:keepNext/>
      </w:pPr>
      <w:r>
        <w:t>15. Advantages</w:t>
      </w:r>
    </w:p>
    <w:p>
      <w:pPr>
        <w:pStyle w:val="ListBullet"/>
        <w:spacing w:after="40"/>
      </w:pPr>
      <w:r>
        <w:t>Systematic evaluation of suspected ADRs.</w:t>
      </w:r>
    </w:p>
    <w:p>
      <w:pPr>
        <w:pStyle w:val="ListBullet"/>
        <w:spacing w:after="40"/>
      </w:pPr>
      <w:r>
        <w:t>Improved quality of pharmacovigilance assessment.</w:t>
      </w:r>
    </w:p>
    <w:p>
      <w:pPr>
        <w:pStyle w:val="ListBullet"/>
        <w:spacing w:after="40"/>
      </w:pPr>
      <w:r>
        <w:t>Supports signal detection and safety evaluation.</w:t>
      </w:r>
    </w:p>
    <w:p>
      <w:pPr>
        <w:pStyle w:val="ListBullet"/>
        <w:spacing w:after="40"/>
      </w:pPr>
      <w:r>
        <w:t>Facilitates clinical and regulatory decision-making.</w:t>
      </w:r>
    </w:p>
    <w:p>
      <w:pPr>
        <w:pStyle w:val="ListBullet"/>
        <w:spacing w:after="40"/>
      </w:pPr>
      <w:r>
        <w:t>Improves patient safety.</w:t>
      </w:r>
    </w:p>
    <w:p>
      <w:pPr>
        <w:pStyle w:val="ListBullet"/>
        <w:spacing w:after="40"/>
      </w:pPr>
      <w:r>
        <w:t>Provides a common framework for evaluating drug-event relationships.</w:t>
      </w:r>
    </w:p>
    <w:p>
      <w:pPr>
        <w:pStyle w:val="Heading1"/>
        <w:keepNext/>
      </w:pPr>
      <w:r>
        <w:t>16. Limitations</w:t>
      </w:r>
    </w:p>
    <w:p>
      <w:pPr>
        <w:pStyle w:val="ListBullet"/>
        <w:spacing w:after="40"/>
      </w:pPr>
      <w:r>
        <w:t>Clinical information may be incomplete.</w:t>
      </w:r>
    </w:p>
    <w:p>
      <w:pPr>
        <w:pStyle w:val="ListBullet"/>
        <w:spacing w:after="40"/>
      </w:pPr>
      <w:r>
        <w:t>Patients often receive multiple medicines simultaneously.</w:t>
      </w:r>
    </w:p>
    <w:p>
      <w:pPr>
        <w:pStyle w:val="ListBullet"/>
        <w:spacing w:after="40"/>
      </w:pPr>
      <w:r>
        <w:t>Underlying diseases may mimic ADRs.</w:t>
      </w:r>
    </w:p>
    <w:p>
      <w:pPr>
        <w:pStyle w:val="ListBullet"/>
        <w:spacing w:after="40"/>
      </w:pPr>
      <w:r>
        <w:t>Rechallenge information is often unavailable.</w:t>
      </w:r>
    </w:p>
    <w:p>
      <w:pPr>
        <w:pStyle w:val="ListBullet"/>
        <w:spacing w:after="40"/>
      </w:pPr>
      <w:r>
        <w:t>Some scoring questions are difficult to answer in spontaneous reports.</w:t>
      </w:r>
    </w:p>
    <w:p>
      <w:pPr>
        <w:pStyle w:val="ListBullet"/>
        <w:spacing w:after="40"/>
      </w:pPr>
      <w:r>
        <w:t>Different assessors may reach different conclusions.</w:t>
      </w:r>
    </w:p>
    <w:p>
      <w:pPr>
        <w:pStyle w:val="ListBullet"/>
        <w:spacing w:after="40"/>
      </w:pPr>
      <w:r>
        <w:t>A single spontaneous report generally cannot establish definitive causality.</w:t>
      </w:r>
    </w:p>
    <w:p>
      <w:pPr>
        <w:pStyle w:val="ListBullet"/>
        <w:spacing w:after="40"/>
      </w:pPr>
      <w:r>
        <w:t>Rare or previously unknown reactions can be difficult to classify.</w:t>
      </w:r>
    </w:p>
    <w:p>
      <w:pPr>
        <w:pStyle w:val="ListBullet"/>
        <w:spacing w:after="40"/>
      </w:pPr>
      <w:r>
        <w:t>Numerical scores may oversimplify complex clinical situations.</w:t>
      </w:r>
    </w:p>
    <w:p>
      <w:pPr>
        <w:pStyle w:val="Heading1"/>
        <w:keepNext/>
      </w:pPr>
      <w:r>
        <w:t>17. Conclusion</w:t>
      </w:r>
    </w:p>
    <w:p>
      <w:r>
        <w:t>Causality assessment is a fundamental component of pharmacovigilance that evaluates the likelihood of a causal relationship between a medicinal product and an adverse event. It helps differentiate suspected drug-related reactions from events caused by underlying diseases, concomitant medicines or other factors.</w:t>
      </w:r>
    </w:p>
    <w:p>
      <w:r>
        <w:t>The Naranjo Algorithm provides a structured numerical approach using ten questions, whereas the WHO-UMC system emphasizes clinical judgement and defined causality categories. For vaccine-related events, WHO provides a specialized AEFI causality assessment methodology using a systematic checklist and decision algorithm.</w:t>
      </w:r>
    </w:p>
    <w:p>
      <w:r>
        <w:t>Although causality assessment tools improve consistency and structure, they cannot establish causation with absolute certainty in every individual case. Good clinical judgement, complete patient information and appropriate medical review remain essential. Future pharmacovigilance systems may increasingly combine artificial intelligence, machine learning and expert medical judgement to make causality assessment faster and more efficient.</w:t>
      </w:r>
    </w:p>
    <w:p>
      <w:pPr>
        <w:pStyle w:val="Heading1"/>
        <w:keepNext/>
      </w:pPr>
      <w:r>
        <w:t>References</w:t>
      </w:r>
    </w:p>
    <w:p>
      <w:pPr>
        <w:pStyle w:val="ListNumber"/>
        <w:spacing w:after="80"/>
      </w:pPr>
      <w:r>
        <w:t>World Health Organization. Causality assessment of an adverse event following immunization (AEFI): user manual for the revised WHO classification, 2nd ed., 2019 update. WHO; 2021.</w:t>
      </w:r>
    </w:p>
    <w:p>
      <w:pPr>
        <w:pStyle w:val="ListNumber"/>
        <w:spacing w:after="80"/>
      </w:pPr>
      <w:r>
        <w:t>Uppsala Monitoring Centre. WHO-UMC system for standardised case causality assessment. Uppsala Monitoring Centre.</w:t>
      </w:r>
    </w:p>
    <w:p>
      <w:pPr>
        <w:pStyle w:val="ListNumber"/>
        <w:spacing w:after="80"/>
      </w:pPr>
      <w:r>
        <w:t>Naranjo CA, Busto U, Sellers EM, et al. A method for estimating the probability of adverse drug reactions. Clinical Pharmacology &amp; Therapeutics. 1981;30(2):239–245.</w:t>
      </w:r>
    </w:p>
    <w:p>
      <w:pPr>
        <w:pStyle w:val="ListNumber"/>
        <w:spacing w:after="80"/>
      </w:pPr>
      <w:r>
        <w:t>World Health Organization. Global manual on surveillance of adverse events following immunization. WHO; 2016.</w:t>
      </w:r>
    </w:p>
    <w:p>
      <w:pPr>
        <w:pStyle w:val="ListNumber"/>
        <w:spacing w:after="80"/>
      </w:pPr>
      <w:r>
        <w:t>World Health Organization. Adverse Events Following Immunization: Causality Assessment. WHO Global Advisory Committee on Vaccine Safety.</w:t>
      </w:r>
    </w:p>
    <w:sectPr w:rsidR="00FC693F" w:rsidRPr="0006063C" w:rsidSect="00034616">
      <w:footerReference w:type="default" r:id="rId9"/>
      <w:pgSz w:w="12240" w:h="15840"/>
      <w:pgMar w:top="1008" w:right="1008"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Causality Assessment in Pharmacovigilance  •  B.Pharm Project</w:t>
    </w:r>
  </w:p>
  <w:p>
    <w:pP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