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rPr>
          <w:b/>
          <w:color w:val="5F6973"/>
          <w:sz w:val="28"/>
        </w:rPr>
        <w:t>PHARMACOVIGILANCE PROJECT</w:t>
      </w:r>
    </w:p>
    <w:p>
      <w:pPr>
        <w:spacing w:before="480"/>
        <w:jc w:val="center"/>
      </w:pPr>
      <w:r>
        <w:rPr>
          <w:b/>
          <w:color w:val="1F4E79"/>
          <w:sz w:val="54"/>
        </w:rPr>
        <w:t>ADR CASE CLASSIFICATION</w:t>
      </w:r>
    </w:p>
    <w:p>
      <w:pPr>
        <w:jc w:val="center"/>
      </w:pPr>
      <w:r>
        <w:rPr>
          <w:i/>
          <w:sz w:val="30"/>
        </w:rPr>
        <w:t>Based on Seriousness and Expectedness,</w:t>
        <w:br/>
        <w:t>with Evaluation of Clinical Impact</w:t>
      </w:r>
    </w:p>
    <w:p>
      <w:pPr>
        <w:spacing w:before="1160"/>
        <w:jc w:val="center"/>
      </w:pPr>
      <w:r>
        <w:rPr>
          <w:sz w:val="24"/>
        </w:rPr>
        <w:t>Submitted as part of the academic work in</w:t>
        <w:br/>
        <w:t>Bachelor of Pharmacy (B.Pharm)</w:t>
      </w:r>
    </w:p>
    <w:p>
      <w:pPr>
        <w:spacing w:before="840"/>
        <w:jc w:val="center"/>
      </w:pPr>
      <w:r>
        <w:rPr>
          <w:b/>
          <w:sz w:val="24"/>
        </w:rPr>
        <w:t>Prepared by</w:t>
        <w:br/>
        <w:t>Keshav Kumar Singh</w:t>
        <w:br/>
        <w:t>3rd Year, B.Pharm</w:t>
      </w:r>
    </w:p>
    <w:p>
      <w:pPr>
        <w:spacing w:before="700"/>
        <w:jc w:val="center"/>
      </w:pPr>
      <w:r>
        <w:rPr>
          <w:color w:val="646464"/>
          <w:sz w:val="20"/>
        </w:rPr>
        <w:t>Academic Case Evaluation</w:t>
      </w:r>
    </w:p>
    <w:p>
      <w:r>
        <w:br w:type="page"/>
      </w:r>
    </w:p>
    <w:p>
      <w:pPr>
        <w:pStyle w:val="Heading1"/>
        <w:keepNext/>
      </w:pPr>
      <w:r>
        <w:t>Contents</w:t>
      </w:r>
    </w:p>
    <w:p>
      <w:pPr>
        <w:spacing w:after="60"/>
      </w:pPr>
      <w:r>
        <w:t>1. Introduction</w:t>
      </w:r>
    </w:p>
    <w:p>
      <w:pPr>
        <w:spacing w:after="60"/>
      </w:pPr>
      <w:r>
        <w:t>2. Aim and Objectives</w:t>
      </w:r>
    </w:p>
    <w:p>
      <w:pPr>
        <w:spacing w:after="60"/>
      </w:pPr>
      <w:r>
        <w:t>3. Key Concepts and Definitions</w:t>
      </w:r>
    </w:p>
    <w:p>
      <w:pPr>
        <w:spacing w:after="60"/>
      </w:pPr>
      <w:r>
        <w:t>4. Criteria for Classification</w:t>
      </w:r>
    </w:p>
    <w:p>
      <w:pPr>
        <w:spacing w:after="60"/>
      </w:pPr>
      <w:r>
        <w:t>5. Methodology</w:t>
      </w:r>
    </w:p>
    <w:p>
      <w:pPr>
        <w:spacing w:after="60"/>
      </w:pPr>
      <w:r>
        <w:t>6. Case Classification Summary</w:t>
      </w:r>
    </w:p>
    <w:p>
      <w:pPr>
        <w:spacing w:after="60"/>
      </w:pPr>
      <w:r>
        <w:t>7. Individual Case Evaluation</w:t>
      </w:r>
    </w:p>
    <w:p>
      <w:pPr>
        <w:spacing w:after="60"/>
      </w:pPr>
      <w:r>
        <w:t>8. Comparative Analysis and Clinical Implications</w:t>
      </w:r>
    </w:p>
    <w:p>
      <w:pPr>
        <w:spacing w:after="60"/>
      </w:pPr>
      <w:r>
        <w:t>9. Discussion</w:t>
      </w:r>
    </w:p>
    <w:p>
      <w:pPr>
        <w:spacing w:after="60"/>
      </w:pPr>
      <w:r>
        <w:t>10. Conclusion</w:t>
      </w:r>
    </w:p>
    <w:p>
      <w:pPr>
        <w:spacing w:after="60"/>
      </w:pPr>
      <w:r>
        <w:t>References</w:t>
      </w:r>
    </w:p>
    <w:p>
      <w:r>
        <w:br w:type="page"/>
      </w:r>
    </w:p>
    <w:p>
      <w:pPr>
        <w:pStyle w:val="Heading1"/>
        <w:keepNext/>
      </w:pPr>
      <w:r>
        <w:t>1. Introduction</w:t>
      </w:r>
    </w:p>
    <w:p>
      <w:r>
        <w:t>Pharmacovigilance is the science and set of activities concerned with the detection, assessment, understanding and prevention of adverse effects or other medicine-related problems. Adverse drug reaction (ADR) case classification helps organise safety information and identify cases that may require urgent clinical attention or regulatory reporting.</w:t>
      </w:r>
    </w:p>
    <w:p>
      <w:r>
        <w:t>Two important dimensions are seriousness and expectedness. Seriousness is determined by the outcome or medical importance of an event, while expectedness is determined by whether the reaction is consistent with the applicable product information. These are separate assessments: an event can be serious and expected, serious and unexpected, non-serious and expected, or non-serious and unexpected.</w:t>
      </w:r>
    </w:p>
    <w:tbl>
      <w:tblPr>
        <w:tblStyle w:val="TableGrid"/>
        <w:tblW w:type="auto" w:w="0"/>
        <w:tblLook w:firstColumn="1" w:firstRow="1" w:lastColumn="0" w:lastRow="0" w:noHBand="0" w:noVBand="1" w:val="04A0"/>
      </w:tblPr>
      <w:tblGrid>
        <w:gridCol w:w="9994"/>
      </w:tblGrid>
      <w:tr>
        <w:tc>
          <w:tcPr>
            <w:tcW w:type="dxa" w:w="9994"/>
            <w:shd w:fill="EEF4F8"/>
          </w:tcPr>
          <w:p>
            <w:pPr>
              <w:spacing w:after="40"/>
            </w:pPr>
            <w:r/>
            <w:r>
              <w:rPr>
                <w:b/>
                <w:color w:val="1F4E79"/>
                <w:sz w:val="20"/>
              </w:rPr>
              <w:t>Important distinction</w:t>
              <w:br/>
            </w:r>
            <w:r>
              <w:rPr>
                <w:sz w:val="18"/>
              </w:rPr>
              <w:t>“Severe” describes the intensity of a symptom; “serious” is a regulatory classification based on outcomes or medically important consequences. A severe headache may be non-serious, while a less intense event can be serious if it results in hospitalisation or another seriousness criterion.</w:t>
            </w:r>
          </w:p>
        </w:tc>
      </w:tr>
    </w:tbl>
    <w:p>
      <w:pPr>
        <w:spacing w:after="20"/>
      </w:pPr>
    </w:p>
    <w:p>
      <w:pPr>
        <w:pStyle w:val="Heading1"/>
        <w:keepNext/>
      </w:pPr>
      <w:r>
        <w:t>2. Aim and Objectives</w:t>
      </w:r>
    </w:p>
    <w:p>
      <w:r>
        <w:t>Aim: To classify selected adverse drug reaction cases according to seriousness and expectedness and evaluate their clinical impact using established pharmacovigilance principles.</w:t>
      </w:r>
    </w:p>
    <w:p>
      <w:pPr>
        <w:pStyle w:val="ListBullet"/>
        <w:spacing w:after="40"/>
      </w:pPr>
      <w:r>
        <w:t>Define seriousness and expectedness in ADR assessment.</w:t>
      </w:r>
    </w:p>
    <w:p>
      <w:pPr>
        <w:pStyle w:val="ListBullet"/>
        <w:spacing w:after="40"/>
      </w:pPr>
      <w:r>
        <w:t>Apply recognised seriousness criteria to individual case scenarios.</w:t>
      </w:r>
    </w:p>
    <w:p>
      <w:pPr>
        <w:pStyle w:val="ListBullet"/>
        <w:spacing w:after="40"/>
      </w:pPr>
      <w:r>
        <w:t>Compare each reaction with the stated reference product information.</w:t>
      </w:r>
    </w:p>
    <w:p>
      <w:pPr>
        <w:pStyle w:val="ListBullet"/>
        <w:spacing w:after="40"/>
      </w:pPr>
      <w:r>
        <w:t>Evaluate the clinical consequences and appropriate response for each case.</w:t>
      </w:r>
    </w:p>
    <w:p>
      <w:pPr>
        <w:pStyle w:val="ListBullet"/>
        <w:spacing w:after="40"/>
      </w:pPr>
      <w:r>
        <w:t>Demonstrate how case classification supports pharmacovigilance review and prioritisation.</w:t>
      </w:r>
    </w:p>
    <w:p>
      <w:pPr>
        <w:pStyle w:val="Heading1"/>
        <w:keepNext/>
      </w:pPr>
      <w:r>
        <w:t>3. Key Concepts and Definitions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D9EAF7"/>
          </w:tcPr>
          <w:p>
            <w:pPr>
              <w:spacing w:after="20"/>
            </w:pPr>
            <w:r/>
            <w:r>
              <w:rPr>
                <w:rFonts w:ascii="Aptos" w:hAnsi="Aptos"/>
                <w:b/>
                <w:color w:val="1F4E79"/>
                <w:sz w:val="17"/>
              </w:rPr>
              <w:t>Term</w:t>
            </w:r>
          </w:p>
        </w:tc>
        <w:tc>
          <w:tcPr>
            <w:tcW w:type="dxa" w:w="4997"/>
            <w:vAlign w:val="center"/>
            <w:shd w:fill="D9EAF7"/>
          </w:tcPr>
          <w:p>
            <w:pPr>
              <w:spacing w:after="20"/>
            </w:pPr>
            <w:r/>
            <w:r>
              <w:rPr>
                <w:rFonts w:ascii="Aptos" w:hAnsi="Aptos"/>
                <w:b/>
                <w:color w:val="1F4E79"/>
                <w:sz w:val="17"/>
              </w:rPr>
              <w:t>Definition</w:t>
            </w:r>
          </w:p>
        </w:tc>
      </w:tr>
      <w:tr>
        <w:tc>
          <w:tcPr>
            <w:tcW w:type="dxa" w:w="4997"/>
            <w:vAlign w:val="center"/>
          </w:tcPr>
          <w:p>
            <w:pPr>
              <w:spacing w:after="20"/>
            </w:pPr>
            <w:r/>
            <w:r>
              <w:rPr>
                <w:rFonts w:ascii="Aptos" w:hAnsi="Aptos"/>
                <w:b w:val="0"/>
                <w:sz w:val="17"/>
              </w:rPr>
              <w:t>Adverse event (AE)</w:t>
            </w:r>
          </w:p>
        </w:tc>
        <w:tc>
          <w:tcPr>
            <w:tcW w:type="dxa" w:w="4997"/>
            <w:vAlign w:val="center"/>
          </w:tcPr>
          <w:p>
            <w:pPr>
              <w:spacing w:after="20"/>
            </w:pPr>
            <w:r/>
            <w:r>
              <w:rPr>
                <w:rFonts w:ascii="Aptos" w:hAnsi="Aptos"/>
                <w:b w:val="0"/>
                <w:sz w:val="17"/>
              </w:rPr>
              <w:t>Any untoward medical occurrence after use of a medicine; a causal relationship is not necessarily established.</w:t>
            </w:r>
          </w:p>
        </w:tc>
      </w:tr>
      <w:tr>
        <w:tc>
          <w:tcPr>
            <w:tcW w:type="dxa" w:w="4997"/>
            <w:vAlign w:val="center"/>
            <w:shd w:fill="F7F9FB"/>
          </w:tcPr>
          <w:p>
            <w:pPr>
              <w:spacing w:after="20"/>
            </w:pPr>
            <w:r/>
            <w:r>
              <w:rPr>
                <w:rFonts w:ascii="Aptos" w:hAnsi="Aptos"/>
                <w:b w:val="0"/>
                <w:sz w:val="17"/>
              </w:rPr>
              <w:t>Adverse drug reaction (ADR)</w:t>
            </w:r>
          </w:p>
        </w:tc>
        <w:tc>
          <w:tcPr>
            <w:tcW w:type="dxa" w:w="4997"/>
            <w:vAlign w:val="center"/>
            <w:shd w:fill="F7F9FB"/>
          </w:tcPr>
          <w:p>
            <w:pPr>
              <w:spacing w:after="20"/>
            </w:pPr>
            <w:r/>
            <w:r>
              <w:rPr>
                <w:rFonts w:ascii="Aptos" w:hAnsi="Aptos"/>
                <w:b w:val="0"/>
                <w:sz w:val="17"/>
              </w:rPr>
              <w:t>A harmful and unintended response to a medicinal product for which a causal relationship is suspected.</w:t>
            </w:r>
          </w:p>
        </w:tc>
      </w:tr>
      <w:tr>
        <w:tc>
          <w:tcPr>
            <w:tcW w:type="dxa" w:w="4997"/>
            <w:vAlign w:val="center"/>
          </w:tcPr>
          <w:p>
            <w:pPr>
              <w:spacing w:after="20"/>
            </w:pPr>
            <w:r/>
            <w:r>
              <w:rPr>
                <w:rFonts w:ascii="Aptos" w:hAnsi="Aptos"/>
                <w:b w:val="0"/>
                <w:sz w:val="17"/>
              </w:rPr>
              <w:t>Serious ADR</w:t>
            </w:r>
          </w:p>
        </w:tc>
        <w:tc>
          <w:tcPr>
            <w:tcW w:type="dxa" w:w="4997"/>
            <w:vAlign w:val="center"/>
          </w:tcPr>
          <w:p>
            <w:pPr>
              <w:spacing w:after="20"/>
            </w:pPr>
            <w:r/>
            <w:r>
              <w:rPr>
                <w:rFonts w:ascii="Aptos" w:hAnsi="Aptos"/>
                <w:b w:val="0"/>
                <w:sz w:val="17"/>
              </w:rPr>
              <w:t>An ADR that results in death, is life-threatening, requires or prolongs inpatient hospitalisation, causes significant/persistent disability, results in a congenital anomaly, or is otherwise medically important.</w:t>
            </w:r>
          </w:p>
        </w:tc>
      </w:tr>
      <w:tr>
        <w:tc>
          <w:tcPr>
            <w:tcW w:type="dxa" w:w="4997"/>
            <w:vAlign w:val="center"/>
            <w:shd w:fill="F7F9FB"/>
          </w:tcPr>
          <w:p>
            <w:pPr>
              <w:spacing w:after="20"/>
            </w:pPr>
            <w:r/>
            <w:r>
              <w:rPr>
                <w:rFonts w:ascii="Aptos" w:hAnsi="Aptos"/>
                <w:b w:val="0"/>
                <w:sz w:val="17"/>
              </w:rPr>
              <w:t>Expected ADR</w:t>
            </w:r>
          </w:p>
        </w:tc>
        <w:tc>
          <w:tcPr>
            <w:tcW w:type="dxa" w:w="4997"/>
            <w:vAlign w:val="center"/>
            <w:shd w:fill="F7F9FB"/>
          </w:tcPr>
          <w:p>
            <w:pPr>
              <w:spacing w:after="20"/>
            </w:pPr>
            <w:r/>
            <w:r>
              <w:rPr>
                <w:rFonts w:ascii="Aptos" w:hAnsi="Aptos"/>
                <w:b w:val="0"/>
                <w:sz w:val="17"/>
              </w:rPr>
              <w:t>A reaction whose nature and/or severity is consistent with the applicable reference safety information or product labelling.</w:t>
            </w:r>
          </w:p>
        </w:tc>
      </w:tr>
      <w:tr>
        <w:tc>
          <w:tcPr>
            <w:tcW w:type="dxa" w:w="4997"/>
            <w:vAlign w:val="center"/>
          </w:tcPr>
          <w:p>
            <w:pPr>
              <w:spacing w:after="20"/>
            </w:pPr>
            <w:r/>
            <w:r>
              <w:rPr>
                <w:rFonts w:ascii="Aptos" w:hAnsi="Aptos"/>
                <w:b w:val="0"/>
                <w:sz w:val="17"/>
              </w:rPr>
              <w:t>Unexpected ADR</w:t>
            </w:r>
          </w:p>
        </w:tc>
        <w:tc>
          <w:tcPr>
            <w:tcW w:type="dxa" w:w="4997"/>
            <w:vAlign w:val="center"/>
          </w:tcPr>
          <w:p>
            <w:pPr>
              <w:spacing w:after="20"/>
            </w:pPr>
            <w:r/>
            <w:r>
              <w:rPr>
                <w:rFonts w:ascii="Aptos" w:hAnsi="Aptos"/>
                <w:b w:val="0"/>
                <w:sz w:val="17"/>
              </w:rPr>
              <w:t>A reaction whose nature or severity is not consistent with the applicable reference safety information or product labelling.</w:t>
            </w:r>
          </w:p>
        </w:tc>
      </w:tr>
      <w:tr>
        <w:tc>
          <w:tcPr>
            <w:tcW w:type="dxa" w:w="4997"/>
            <w:vAlign w:val="center"/>
            <w:shd w:fill="F7F9FB"/>
          </w:tcPr>
          <w:p>
            <w:pPr>
              <w:spacing w:after="20"/>
            </w:pPr>
            <w:r/>
            <w:r>
              <w:rPr>
                <w:rFonts w:ascii="Aptos" w:hAnsi="Aptos"/>
                <w:b w:val="0"/>
                <w:sz w:val="17"/>
              </w:rPr>
              <w:t>Clinical impact</w:t>
            </w:r>
          </w:p>
        </w:tc>
        <w:tc>
          <w:tcPr>
            <w:tcW w:type="dxa" w:w="4997"/>
            <w:vAlign w:val="center"/>
            <w:shd w:fill="F7F9FB"/>
          </w:tcPr>
          <w:p>
            <w:pPr>
              <w:spacing w:after="20"/>
            </w:pPr>
            <w:r/>
            <w:r>
              <w:rPr>
                <w:rFonts w:ascii="Aptos" w:hAnsi="Aptos"/>
                <w:b w:val="0"/>
                <w:sz w:val="17"/>
              </w:rPr>
              <w:t>The effect of the reaction on the patient, including symptoms, organ function, need for treatment, hospital care, recovery and potential long-term consequences.</w:t>
            </w:r>
          </w:p>
        </w:tc>
      </w:tr>
    </w:tbl>
    <w:p>
      <w:pPr>
        <w:spacing w:after="20"/>
      </w:pPr>
    </w:p>
    <w:p>
      <w:pPr>
        <w:pStyle w:val="Heading1"/>
        <w:keepNext/>
      </w:pPr>
      <w:r>
        <w:t>4. Criteria for Classification</w:t>
      </w:r>
    </w:p>
    <w:p>
      <w:pPr>
        <w:pStyle w:val="Heading2"/>
        <w:keepNext/>
      </w:pPr>
      <w:r>
        <w:t>4.1 Seriousness</w:t>
      </w:r>
    </w:p>
    <w:p>
      <w:r>
        <w:t>Under ICH E2A principles, an event is classified as serious if it meets at least one of the following criteria:</w:t>
      </w:r>
    </w:p>
    <w:p>
      <w:pPr>
        <w:pStyle w:val="ListBullet"/>
        <w:spacing w:after="40"/>
      </w:pPr>
      <w:r>
        <w:t>Results in death.</w:t>
      </w:r>
    </w:p>
    <w:p>
      <w:pPr>
        <w:pStyle w:val="ListBullet"/>
        <w:spacing w:after="40"/>
      </w:pPr>
      <w:r>
        <w:t>Is life-threatening at the time of the event.</w:t>
      </w:r>
    </w:p>
    <w:p>
      <w:pPr>
        <w:pStyle w:val="ListBullet"/>
        <w:spacing w:after="40"/>
      </w:pPr>
      <w:r>
        <w:t>Requires inpatient hospitalisation or prolongs an existing hospital stay.</w:t>
      </w:r>
    </w:p>
    <w:p>
      <w:pPr>
        <w:pStyle w:val="ListBullet"/>
        <w:spacing w:after="40"/>
      </w:pPr>
      <w:r>
        <w:t>Results in persistent or significant disability or incapacity.</w:t>
      </w:r>
    </w:p>
    <w:p>
      <w:pPr>
        <w:pStyle w:val="ListBullet"/>
        <w:spacing w:after="40"/>
      </w:pPr>
      <w:r>
        <w:t>Causes a congenital anomaly or birth defect.</w:t>
      </w:r>
    </w:p>
    <w:p>
      <w:pPr>
        <w:pStyle w:val="ListBullet"/>
        <w:spacing w:after="40"/>
      </w:pPr>
      <w:r>
        <w:t>Is an important medical event that may jeopardise the patient or require intervention to prevent one of the outcomes above.</w:t>
      </w:r>
    </w:p>
    <w:p>
      <w:pPr>
        <w:pStyle w:val="Heading2"/>
        <w:keepNext/>
      </w:pPr>
      <w:r>
        <w:t>4.2 Expectedness</w:t>
      </w:r>
    </w:p>
    <w:p>
      <w:r>
        <w:t>Expectedness is assessed against the applicable, current product information (for example, the relevant Summary of Product Characteristics or local prescribing information). It should not be decided solely because a reaction is pharmacologically plausible or commonly known for the drug class. For this educational exercise, each case states what the reference product information is assumed to say.</w:t>
      </w:r>
    </w:p>
    <w:tbl>
      <w:tblPr>
        <w:tblStyle w:val="TableGrid"/>
        <w:tblW w:type="auto" w:w="0"/>
        <w:tblLook w:firstColumn="1" w:firstRow="1" w:lastColumn="0" w:lastRow="0" w:noHBand="0" w:noVBand="1" w:val="04A0"/>
      </w:tblPr>
      <w:tblGrid>
        <w:gridCol w:w="9994"/>
      </w:tblGrid>
      <w:tr>
        <w:tc>
          <w:tcPr>
            <w:tcW w:type="dxa" w:w="9994"/>
            <w:shd w:fill="EEF4F8"/>
          </w:tcPr>
          <w:p>
            <w:pPr>
              <w:spacing w:after="40"/>
            </w:pPr>
            <w:r/>
            <w:r>
              <w:rPr>
                <w:b/>
                <w:color w:val="1F4E79"/>
                <w:sz w:val="20"/>
              </w:rPr>
              <w:t>Classification rule</w:t>
              <w:br/>
            </w:r>
            <w:r>
              <w:rPr>
                <w:sz w:val="18"/>
              </w:rPr>
              <w:t>Expectedness is product- and reference-information-specific. In real case processing, verify the exact product, formulation, country/region and current label before assigning expectedness.</w:t>
            </w:r>
          </w:p>
        </w:tc>
      </w:tr>
    </w:tbl>
    <w:p>
      <w:pPr>
        <w:spacing w:after="20"/>
      </w:pPr>
    </w:p>
    <w:p>
      <w:pPr>
        <w:pStyle w:val="Heading1"/>
        <w:keepNext/>
      </w:pPr>
      <w:r>
        <w:t>5. Methodology</w:t>
      </w:r>
    </w:p>
    <w:p>
      <w:r>
        <w:t>This is an educational case-based review. Ten fictional scenarios were assessed using the seriousness criteria described in ICH E2A and the expectedness principle based on applicable product information.</w:t>
      </w:r>
    </w:p>
    <w:p>
      <w:pPr>
        <w:pStyle w:val="ListBullet"/>
        <w:spacing w:after="40"/>
      </w:pPr>
      <w:r>
        <w:t>Read the clinical narrative and identify the suspected medicine and reaction.</w:t>
      </w:r>
    </w:p>
    <w:p>
      <w:pPr>
        <w:pStyle w:val="ListBullet"/>
        <w:spacing w:after="40"/>
      </w:pPr>
      <w:r>
        <w:t>Determine whether any seriousness criterion is met.</w:t>
      </w:r>
    </w:p>
    <w:p>
      <w:pPr>
        <w:pStyle w:val="ListBullet"/>
        <w:spacing w:after="40"/>
      </w:pPr>
      <w:r>
        <w:t>Compare the reaction’s nature and severity with the reference information stated in the scenario.</w:t>
      </w:r>
    </w:p>
    <w:p>
      <w:pPr>
        <w:pStyle w:val="ListBullet"/>
        <w:spacing w:after="40"/>
      </w:pPr>
      <w:r>
        <w:t>Assess immediate clinical consequences, treatment required and potential long-term harm.</w:t>
      </w:r>
    </w:p>
    <w:p>
      <w:pPr>
        <w:pStyle w:val="ListBullet"/>
        <w:spacing w:after="40"/>
      </w:pPr>
      <w:r>
        <w:t>Record the classification and explain the reasoning.</w:t>
      </w:r>
    </w:p>
    <w:p>
      <w:r>
        <w:t>These scenarios are illustrative, not actual patient records or definitive product-label determinations. Clinical management in real cases must be decided by qualified healthcare professionals.</w:t>
      </w:r>
    </w:p>
    <w:p>
      <w:pPr>
        <w:pStyle w:val="Heading1"/>
        <w:keepNext/>
      </w:pPr>
      <w:r>
        <w:t>6. Case Classification Summary</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1666"/>
            <w:vAlign w:val="center"/>
            <w:shd w:fill="D9EAF7"/>
          </w:tcPr>
          <w:p>
            <w:pPr>
              <w:spacing w:after="20"/>
            </w:pPr>
            <w:r/>
            <w:r>
              <w:rPr>
                <w:rFonts w:ascii="Aptos" w:hAnsi="Aptos"/>
                <w:b/>
                <w:color w:val="1F4E79"/>
                <w:sz w:val="14"/>
              </w:rPr>
              <w:t>Case</w:t>
            </w:r>
          </w:p>
        </w:tc>
        <w:tc>
          <w:tcPr>
            <w:tcW w:type="dxa" w:w="1666"/>
            <w:vAlign w:val="center"/>
            <w:shd w:fill="D9EAF7"/>
          </w:tcPr>
          <w:p>
            <w:pPr>
              <w:spacing w:after="20"/>
            </w:pPr>
            <w:r/>
            <w:r>
              <w:rPr>
                <w:rFonts w:ascii="Aptos" w:hAnsi="Aptos"/>
                <w:b/>
                <w:color w:val="1F4E79"/>
                <w:sz w:val="14"/>
              </w:rPr>
              <w:t>Suspected drug</w:t>
            </w:r>
          </w:p>
        </w:tc>
        <w:tc>
          <w:tcPr>
            <w:tcW w:type="dxa" w:w="1666"/>
            <w:vAlign w:val="center"/>
            <w:shd w:fill="D9EAF7"/>
          </w:tcPr>
          <w:p>
            <w:pPr>
              <w:spacing w:after="20"/>
            </w:pPr>
            <w:r/>
            <w:r>
              <w:rPr>
                <w:rFonts w:ascii="Aptos" w:hAnsi="Aptos"/>
                <w:b/>
                <w:color w:val="1F4E79"/>
                <w:sz w:val="14"/>
              </w:rPr>
              <w:t>Reaction / outcome</w:t>
            </w:r>
          </w:p>
        </w:tc>
        <w:tc>
          <w:tcPr>
            <w:tcW w:type="dxa" w:w="1666"/>
            <w:vAlign w:val="center"/>
            <w:shd w:fill="D9EAF7"/>
          </w:tcPr>
          <w:p>
            <w:pPr>
              <w:spacing w:after="20"/>
            </w:pPr>
            <w:r/>
            <w:r>
              <w:rPr>
                <w:rFonts w:ascii="Aptos" w:hAnsi="Aptos"/>
                <w:b/>
                <w:color w:val="1F4E79"/>
                <w:sz w:val="14"/>
              </w:rPr>
              <w:t>Seriousness</w:t>
            </w:r>
          </w:p>
        </w:tc>
        <w:tc>
          <w:tcPr>
            <w:tcW w:type="dxa" w:w="1666"/>
            <w:vAlign w:val="center"/>
            <w:shd w:fill="D9EAF7"/>
          </w:tcPr>
          <w:p>
            <w:pPr>
              <w:spacing w:after="20"/>
            </w:pPr>
            <w:r/>
            <w:r>
              <w:rPr>
                <w:rFonts w:ascii="Aptos" w:hAnsi="Aptos"/>
                <w:b/>
                <w:color w:val="1F4E79"/>
                <w:sz w:val="14"/>
              </w:rPr>
              <w:t>Expectedness</w:t>
            </w:r>
          </w:p>
        </w:tc>
        <w:tc>
          <w:tcPr>
            <w:tcW w:type="dxa" w:w="1666"/>
            <w:vAlign w:val="center"/>
            <w:shd w:fill="D9EAF7"/>
          </w:tcPr>
          <w:p>
            <w:pPr>
              <w:spacing w:after="20"/>
            </w:pPr>
            <w:r/>
            <w:r>
              <w:rPr>
                <w:rFonts w:ascii="Aptos" w:hAnsi="Aptos"/>
                <w:b/>
                <w:color w:val="1F4E79"/>
                <w:sz w:val="14"/>
              </w:rPr>
              <w:t>Clinical impact</w:t>
            </w:r>
          </w:p>
        </w:tc>
      </w:tr>
      <w:tr>
        <w:tc>
          <w:tcPr>
            <w:tcW w:type="dxa" w:w="1666"/>
            <w:vAlign w:val="center"/>
          </w:tcPr>
          <w:p>
            <w:pPr>
              <w:spacing w:after="20"/>
            </w:pPr>
            <w:r/>
            <w:r>
              <w:rPr>
                <w:rFonts w:ascii="Aptos" w:hAnsi="Aptos"/>
                <w:b w:val="0"/>
                <w:sz w:val="14"/>
              </w:rPr>
              <w:t>1</w:t>
            </w:r>
          </w:p>
        </w:tc>
        <w:tc>
          <w:tcPr>
            <w:tcW w:type="dxa" w:w="1666"/>
            <w:vAlign w:val="center"/>
          </w:tcPr>
          <w:p>
            <w:pPr>
              <w:spacing w:after="20"/>
            </w:pPr>
            <w:r/>
            <w:r>
              <w:rPr>
                <w:rFonts w:ascii="Aptos" w:hAnsi="Aptos"/>
                <w:b w:val="0"/>
                <w:sz w:val="14"/>
              </w:rPr>
              <w:t>Metformin</w:t>
            </w:r>
          </w:p>
        </w:tc>
        <w:tc>
          <w:tcPr>
            <w:tcW w:type="dxa" w:w="1666"/>
            <w:vAlign w:val="center"/>
          </w:tcPr>
          <w:p>
            <w:pPr>
              <w:spacing w:after="20"/>
            </w:pPr>
            <w:r/>
            <w:r>
              <w:rPr>
                <w:rFonts w:ascii="Aptos" w:hAnsi="Aptos"/>
                <w:b w:val="0"/>
                <w:sz w:val="14"/>
              </w:rPr>
              <w:t>Mild nausea; no treatment change or medical attendance</w:t>
            </w:r>
          </w:p>
        </w:tc>
        <w:tc>
          <w:tcPr>
            <w:tcW w:type="dxa" w:w="1666"/>
            <w:vAlign w:val="center"/>
          </w:tcPr>
          <w:p>
            <w:pPr>
              <w:spacing w:after="20"/>
            </w:pPr>
            <w:r/>
            <w:r>
              <w:rPr>
                <w:rFonts w:ascii="Aptos" w:hAnsi="Aptos"/>
                <w:b w:val="0"/>
                <w:sz w:val="14"/>
              </w:rPr>
              <w:t>Non-serious</w:t>
            </w:r>
          </w:p>
        </w:tc>
        <w:tc>
          <w:tcPr>
            <w:tcW w:type="dxa" w:w="1666"/>
            <w:vAlign w:val="center"/>
          </w:tcPr>
          <w:p>
            <w:pPr>
              <w:spacing w:after="20"/>
            </w:pPr>
            <w:r/>
            <w:r>
              <w:rPr>
                <w:rFonts w:ascii="Aptos" w:hAnsi="Aptos"/>
                <w:b w:val="0"/>
                <w:sz w:val="14"/>
              </w:rPr>
              <w:t>Expected*</w:t>
            </w:r>
          </w:p>
        </w:tc>
        <w:tc>
          <w:tcPr>
            <w:tcW w:type="dxa" w:w="1666"/>
            <w:vAlign w:val="center"/>
          </w:tcPr>
          <w:p>
            <w:pPr>
              <w:spacing w:after="20"/>
            </w:pPr>
            <w:r/>
            <w:r>
              <w:rPr>
                <w:rFonts w:ascii="Aptos" w:hAnsi="Aptos"/>
                <w:b w:val="0"/>
                <w:sz w:val="14"/>
              </w:rPr>
              <w:t>Low</w:t>
            </w:r>
          </w:p>
        </w:tc>
      </w:tr>
      <w:tr>
        <w:tc>
          <w:tcPr>
            <w:tcW w:type="dxa" w:w="1666"/>
            <w:vAlign w:val="center"/>
            <w:shd w:fill="F7F9FB"/>
          </w:tcPr>
          <w:p>
            <w:pPr>
              <w:spacing w:after="20"/>
            </w:pPr>
            <w:r/>
            <w:r>
              <w:rPr>
                <w:rFonts w:ascii="Aptos" w:hAnsi="Aptos"/>
                <w:b w:val="0"/>
                <w:sz w:val="14"/>
              </w:rPr>
              <w:t>2</w:t>
            </w:r>
          </w:p>
        </w:tc>
        <w:tc>
          <w:tcPr>
            <w:tcW w:type="dxa" w:w="1666"/>
            <w:vAlign w:val="center"/>
            <w:shd w:fill="F7F9FB"/>
          </w:tcPr>
          <w:p>
            <w:pPr>
              <w:spacing w:after="20"/>
            </w:pPr>
            <w:r/>
            <w:r>
              <w:rPr>
                <w:rFonts w:ascii="Aptos" w:hAnsi="Aptos"/>
                <w:b w:val="0"/>
                <w:sz w:val="14"/>
              </w:rPr>
              <w:t>Amoxicillin</w:t>
            </w:r>
          </w:p>
        </w:tc>
        <w:tc>
          <w:tcPr>
            <w:tcW w:type="dxa" w:w="1666"/>
            <w:vAlign w:val="center"/>
            <w:shd w:fill="F7F9FB"/>
          </w:tcPr>
          <w:p>
            <w:pPr>
              <w:spacing w:after="20"/>
            </w:pPr>
            <w:r/>
            <w:r>
              <w:rPr>
                <w:rFonts w:ascii="Aptos" w:hAnsi="Aptos"/>
                <w:b w:val="0"/>
                <w:sz w:val="14"/>
              </w:rPr>
              <w:t>Localised uncomplicated rash; managed at home</w:t>
            </w:r>
          </w:p>
        </w:tc>
        <w:tc>
          <w:tcPr>
            <w:tcW w:type="dxa" w:w="1666"/>
            <w:vAlign w:val="center"/>
            <w:shd w:fill="F7F9FB"/>
          </w:tcPr>
          <w:p>
            <w:pPr>
              <w:spacing w:after="20"/>
            </w:pPr>
            <w:r/>
            <w:r>
              <w:rPr>
                <w:rFonts w:ascii="Aptos" w:hAnsi="Aptos"/>
                <w:b w:val="0"/>
                <w:sz w:val="14"/>
              </w:rPr>
              <w:t>Non-serious</w:t>
            </w:r>
          </w:p>
        </w:tc>
        <w:tc>
          <w:tcPr>
            <w:tcW w:type="dxa" w:w="1666"/>
            <w:vAlign w:val="center"/>
            <w:shd w:fill="F7F9FB"/>
          </w:tcPr>
          <w:p>
            <w:pPr>
              <w:spacing w:after="20"/>
            </w:pPr>
            <w:r/>
            <w:r>
              <w:rPr>
                <w:rFonts w:ascii="Aptos" w:hAnsi="Aptos"/>
                <w:b w:val="0"/>
                <w:sz w:val="14"/>
              </w:rPr>
              <w:t>Expected*</w:t>
            </w:r>
          </w:p>
        </w:tc>
        <w:tc>
          <w:tcPr>
            <w:tcW w:type="dxa" w:w="1666"/>
            <w:vAlign w:val="center"/>
            <w:shd w:fill="F7F9FB"/>
          </w:tcPr>
          <w:p>
            <w:pPr>
              <w:spacing w:after="20"/>
            </w:pPr>
            <w:r/>
            <w:r>
              <w:rPr>
                <w:rFonts w:ascii="Aptos" w:hAnsi="Aptos"/>
                <w:b w:val="0"/>
                <w:sz w:val="14"/>
              </w:rPr>
              <w:t>Low–moderate</w:t>
            </w:r>
          </w:p>
        </w:tc>
      </w:tr>
      <w:tr>
        <w:tc>
          <w:tcPr>
            <w:tcW w:type="dxa" w:w="1666"/>
            <w:vAlign w:val="center"/>
          </w:tcPr>
          <w:p>
            <w:pPr>
              <w:spacing w:after="20"/>
            </w:pPr>
            <w:r/>
            <w:r>
              <w:rPr>
                <w:rFonts w:ascii="Aptos" w:hAnsi="Aptos"/>
                <w:b w:val="0"/>
                <w:sz w:val="14"/>
              </w:rPr>
              <w:t>3</w:t>
            </w:r>
          </w:p>
        </w:tc>
        <w:tc>
          <w:tcPr>
            <w:tcW w:type="dxa" w:w="1666"/>
            <w:vAlign w:val="center"/>
          </w:tcPr>
          <w:p>
            <w:pPr>
              <w:spacing w:after="20"/>
            </w:pPr>
            <w:r/>
            <w:r>
              <w:rPr>
                <w:rFonts w:ascii="Aptos" w:hAnsi="Aptos"/>
                <w:b w:val="0"/>
                <w:sz w:val="14"/>
              </w:rPr>
              <w:t>Warfarin</w:t>
            </w:r>
          </w:p>
        </w:tc>
        <w:tc>
          <w:tcPr>
            <w:tcW w:type="dxa" w:w="1666"/>
            <w:vAlign w:val="center"/>
          </w:tcPr>
          <w:p>
            <w:pPr>
              <w:spacing w:after="20"/>
            </w:pPr>
            <w:r/>
            <w:r>
              <w:rPr>
                <w:rFonts w:ascii="Aptos" w:hAnsi="Aptos"/>
                <w:b w:val="0"/>
                <w:sz w:val="14"/>
              </w:rPr>
              <w:t>Gastrointestinal bleeding requiring inpatient admission</w:t>
            </w:r>
          </w:p>
        </w:tc>
        <w:tc>
          <w:tcPr>
            <w:tcW w:type="dxa" w:w="1666"/>
            <w:vAlign w:val="center"/>
          </w:tcPr>
          <w:p>
            <w:pPr>
              <w:spacing w:after="20"/>
            </w:pPr>
            <w:r/>
            <w:r>
              <w:rPr>
                <w:rFonts w:ascii="Aptos" w:hAnsi="Aptos"/>
                <w:b w:val="0"/>
                <w:sz w:val="14"/>
              </w:rPr>
              <w:t>Serious</w:t>
            </w:r>
          </w:p>
        </w:tc>
        <w:tc>
          <w:tcPr>
            <w:tcW w:type="dxa" w:w="1666"/>
            <w:vAlign w:val="center"/>
          </w:tcPr>
          <w:p>
            <w:pPr>
              <w:spacing w:after="20"/>
            </w:pPr>
            <w:r/>
            <w:r>
              <w:rPr>
                <w:rFonts w:ascii="Aptos" w:hAnsi="Aptos"/>
                <w:b w:val="0"/>
                <w:sz w:val="14"/>
              </w:rPr>
              <w:t>Expected*</w:t>
            </w:r>
          </w:p>
        </w:tc>
        <w:tc>
          <w:tcPr>
            <w:tcW w:type="dxa" w:w="1666"/>
            <w:vAlign w:val="center"/>
          </w:tcPr>
          <w:p>
            <w:pPr>
              <w:spacing w:after="20"/>
            </w:pPr>
            <w:r/>
            <w:r>
              <w:rPr>
                <w:rFonts w:ascii="Aptos" w:hAnsi="Aptos"/>
                <w:b w:val="0"/>
                <w:sz w:val="14"/>
              </w:rPr>
              <w:t>High</w:t>
            </w:r>
          </w:p>
        </w:tc>
      </w:tr>
      <w:tr>
        <w:tc>
          <w:tcPr>
            <w:tcW w:type="dxa" w:w="1666"/>
            <w:vAlign w:val="center"/>
            <w:shd w:fill="F7F9FB"/>
          </w:tcPr>
          <w:p>
            <w:pPr>
              <w:spacing w:after="20"/>
            </w:pPr>
            <w:r/>
            <w:r>
              <w:rPr>
                <w:rFonts w:ascii="Aptos" w:hAnsi="Aptos"/>
                <w:b w:val="0"/>
                <w:sz w:val="14"/>
              </w:rPr>
              <w:t>4</w:t>
            </w:r>
          </w:p>
        </w:tc>
        <w:tc>
          <w:tcPr>
            <w:tcW w:type="dxa" w:w="1666"/>
            <w:vAlign w:val="center"/>
            <w:shd w:fill="F7F9FB"/>
          </w:tcPr>
          <w:p>
            <w:pPr>
              <w:spacing w:after="20"/>
            </w:pPr>
            <w:r/>
            <w:r>
              <w:rPr>
                <w:rFonts w:ascii="Aptos" w:hAnsi="Aptos"/>
                <w:b w:val="0"/>
                <w:sz w:val="14"/>
              </w:rPr>
              <w:t>Penicillin</w:t>
            </w:r>
          </w:p>
        </w:tc>
        <w:tc>
          <w:tcPr>
            <w:tcW w:type="dxa" w:w="1666"/>
            <w:vAlign w:val="center"/>
            <w:shd w:fill="F7F9FB"/>
          </w:tcPr>
          <w:p>
            <w:pPr>
              <w:spacing w:after="20"/>
            </w:pPr>
            <w:r/>
            <w:r>
              <w:rPr>
                <w:rFonts w:ascii="Aptos" w:hAnsi="Aptos"/>
                <w:b w:val="0"/>
                <w:sz w:val="14"/>
              </w:rPr>
              <w:t>Anaphylaxis with airway compromise and emergency treatment</w:t>
            </w:r>
          </w:p>
        </w:tc>
        <w:tc>
          <w:tcPr>
            <w:tcW w:type="dxa" w:w="1666"/>
            <w:vAlign w:val="center"/>
            <w:shd w:fill="F7F9FB"/>
          </w:tcPr>
          <w:p>
            <w:pPr>
              <w:spacing w:after="20"/>
            </w:pPr>
            <w:r/>
            <w:r>
              <w:rPr>
                <w:rFonts w:ascii="Aptos" w:hAnsi="Aptos"/>
                <w:b w:val="0"/>
                <w:sz w:val="14"/>
              </w:rPr>
              <w:t>Serious</w:t>
            </w:r>
          </w:p>
        </w:tc>
        <w:tc>
          <w:tcPr>
            <w:tcW w:type="dxa" w:w="1666"/>
            <w:vAlign w:val="center"/>
            <w:shd w:fill="F7F9FB"/>
          </w:tcPr>
          <w:p>
            <w:pPr>
              <w:spacing w:after="20"/>
            </w:pPr>
            <w:r/>
            <w:r>
              <w:rPr>
                <w:rFonts w:ascii="Aptos" w:hAnsi="Aptos"/>
                <w:b w:val="0"/>
                <w:sz w:val="14"/>
              </w:rPr>
              <w:t>Expected*</w:t>
            </w:r>
          </w:p>
        </w:tc>
        <w:tc>
          <w:tcPr>
            <w:tcW w:type="dxa" w:w="1666"/>
            <w:vAlign w:val="center"/>
            <w:shd w:fill="F7F9FB"/>
          </w:tcPr>
          <w:p>
            <w:pPr>
              <w:spacing w:after="20"/>
            </w:pPr>
            <w:r/>
            <w:r>
              <w:rPr>
                <w:rFonts w:ascii="Aptos" w:hAnsi="Aptos"/>
                <w:b w:val="0"/>
                <w:sz w:val="14"/>
              </w:rPr>
              <w:t>Critical</w:t>
            </w:r>
          </w:p>
        </w:tc>
      </w:tr>
      <w:tr>
        <w:tc>
          <w:tcPr>
            <w:tcW w:type="dxa" w:w="1666"/>
            <w:vAlign w:val="center"/>
            <w:shd w:fill="F7F9FB"/>
          </w:tcPr>
          <w:p>
            <w:pPr>
              <w:spacing w:after="20"/>
            </w:pPr>
            <w:r/>
            <w:r>
              <w:rPr>
                <w:rFonts w:ascii="Aptos" w:hAnsi="Aptos"/>
                <w:b w:val="0"/>
                <w:sz w:val="14"/>
              </w:rPr>
              <w:t>6</w:t>
            </w:r>
          </w:p>
        </w:tc>
        <w:tc>
          <w:tcPr>
            <w:tcW w:type="dxa" w:w="1666"/>
            <w:vAlign w:val="center"/>
            <w:shd w:fill="F7F9FB"/>
          </w:tcPr>
          <w:p>
            <w:pPr>
              <w:spacing w:after="20"/>
            </w:pPr>
            <w:r/>
            <w:r>
              <w:rPr>
                <w:rFonts w:ascii="Aptos" w:hAnsi="Aptos"/>
                <w:b w:val="0"/>
                <w:sz w:val="14"/>
              </w:rPr>
              <w:t>Lamotrigine</w:t>
            </w:r>
          </w:p>
        </w:tc>
        <w:tc>
          <w:tcPr>
            <w:tcW w:type="dxa" w:w="1666"/>
            <w:vAlign w:val="center"/>
            <w:shd w:fill="F7F9FB"/>
          </w:tcPr>
          <w:p>
            <w:pPr>
              <w:spacing w:after="20"/>
            </w:pPr>
            <w:r/>
            <w:r>
              <w:rPr>
                <w:rFonts w:ascii="Aptos" w:hAnsi="Aptos"/>
                <w:b w:val="0"/>
                <w:sz w:val="14"/>
              </w:rPr>
              <w:t>Stevens–Johnson syndrome requiring hospitalisation; listed in reference information</w:t>
            </w:r>
          </w:p>
        </w:tc>
        <w:tc>
          <w:tcPr>
            <w:tcW w:type="dxa" w:w="1666"/>
            <w:vAlign w:val="center"/>
            <w:shd w:fill="F7F9FB"/>
          </w:tcPr>
          <w:p>
            <w:pPr>
              <w:spacing w:after="20"/>
            </w:pPr>
            <w:r/>
            <w:r>
              <w:rPr>
                <w:rFonts w:ascii="Aptos" w:hAnsi="Aptos"/>
                <w:b w:val="0"/>
                <w:sz w:val="14"/>
              </w:rPr>
              <w:t>Serious</w:t>
            </w:r>
          </w:p>
        </w:tc>
        <w:tc>
          <w:tcPr>
            <w:tcW w:type="dxa" w:w="1666"/>
            <w:vAlign w:val="center"/>
            <w:shd w:fill="F7F9FB"/>
          </w:tcPr>
          <w:p>
            <w:pPr>
              <w:spacing w:after="20"/>
            </w:pPr>
            <w:r/>
            <w:r>
              <w:rPr>
                <w:rFonts w:ascii="Aptos" w:hAnsi="Aptos"/>
                <w:b w:val="0"/>
                <w:sz w:val="14"/>
              </w:rPr>
              <w:t>Expected*</w:t>
            </w:r>
          </w:p>
        </w:tc>
        <w:tc>
          <w:tcPr>
            <w:tcW w:type="dxa" w:w="1666"/>
            <w:vAlign w:val="center"/>
            <w:shd w:fill="F7F9FB"/>
          </w:tcPr>
          <w:p>
            <w:pPr>
              <w:spacing w:after="20"/>
            </w:pPr>
            <w:r/>
            <w:r>
              <w:rPr>
                <w:rFonts w:ascii="Aptos" w:hAnsi="Aptos"/>
                <w:b w:val="0"/>
                <w:sz w:val="14"/>
              </w:rPr>
              <w:t>Critical</w:t>
            </w:r>
          </w:p>
        </w:tc>
      </w:tr>
      <w:tr>
        <w:tc>
          <w:tcPr>
            <w:tcW w:type="dxa" w:w="1666"/>
            <w:vAlign w:val="center"/>
          </w:tcPr>
          <w:p>
            <w:pPr>
              <w:spacing w:after="20"/>
            </w:pPr>
            <w:r/>
            <w:r>
              <w:rPr>
                <w:rFonts w:ascii="Aptos" w:hAnsi="Aptos"/>
                <w:b w:val="0"/>
                <w:sz w:val="14"/>
              </w:rPr>
              <w:t>7</w:t>
            </w:r>
          </w:p>
        </w:tc>
        <w:tc>
          <w:tcPr>
            <w:tcW w:type="dxa" w:w="1666"/>
            <w:vAlign w:val="center"/>
          </w:tcPr>
          <w:p>
            <w:pPr>
              <w:spacing w:after="20"/>
            </w:pPr>
            <w:r/>
            <w:r>
              <w:rPr>
                <w:rFonts w:ascii="Aptos" w:hAnsi="Aptos"/>
                <w:b w:val="0"/>
                <w:sz w:val="14"/>
              </w:rPr>
              <w:t>Ibuprofen</w:t>
            </w:r>
          </w:p>
        </w:tc>
        <w:tc>
          <w:tcPr>
            <w:tcW w:type="dxa" w:w="1666"/>
            <w:vAlign w:val="center"/>
          </w:tcPr>
          <w:p>
            <w:pPr>
              <w:spacing w:after="20"/>
            </w:pPr>
            <w:r/>
            <w:r>
              <w:rPr>
                <w:rFonts w:ascii="Aptos" w:hAnsi="Aptos"/>
                <w:b w:val="0"/>
                <w:sz w:val="14"/>
              </w:rPr>
              <w:t>Acute kidney injury requiring inpatient treatment; renal injury listed in stated label</w:t>
            </w:r>
          </w:p>
        </w:tc>
        <w:tc>
          <w:tcPr>
            <w:tcW w:type="dxa" w:w="1666"/>
            <w:vAlign w:val="center"/>
          </w:tcPr>
          <w:p>
            <w:pPr>
              <w:spacing w:after="20"/>
            </w:pPr>
            <w:r/>
            <w:r>
              <w:rPr>
                <w:rFonts w:ascii="Aptos" w:hAnsi="Aptos"/>
                <w:b w:val="0"/>
                <w:sz w:val="14"/>
              </w:rPr>
              <w:t>Serious</w:t>
            </w:r>
          </w:p>
        </w:tc>
        <w:tc>
          <w:tcPr>
            <w:tcW w:type="dxa" w:w="1666"/>
            <w:vAlign w:val="center"/>
          </w:tcPr>
          <w:p>
            <w:pPr>
              <w:spacing w:after="20"/>
            </w:pPr>
            <w:r/>
            <w:r>
              <w:rPr>
                <w:rFonts w:ascii="Aptos" w:hAnsi="Aptos"/>
                <w:b w:val="0"/>
                <w:sz w:val="14"/>
              </w:rPr>
              <w:t>Expected*</w:t>
            </w:r>
          </w:p>
        </w:tc>
        <w:tc>
          <w:tcPr>
            <w:tcW w:type="dxa" w:w="1666"/>
            <w:vAlign w:val="center"/>
          </w:tcPr>
          <w:p>
            <w:pPr>
              <w:spacing w:after="20"/>
            </w:pPr>
            <w:r/>
            <w:r>
              <w:rPr>
                <w:rFonts w:ascii="Aptos" w:hAnsi="Aptos"/>
                <w:b w:val="0"/>
                <w:sz w:val="14"/>
              </w:rPr>
              <w:t>High</w:t>
            </w:r>
          </w:p>
        </w:tc>
      </w:tr>
      <w:tr>
        <w:tc>
          <w:tcPr>
            <w:tcW w:type="dxa" w:w="1666"/>
            <w:vAlign w:val="center"/>
            <w:shd w:fill="F7F9FB"/>
          </w:tcPr>
          <w:p>
            <w:pPr>
              <w:spacing w:after="20"/>
            </w:pPr>
            <w:r/>
            <w:r>
              <w:rPr>
                <w:rFonts w:ascii="Aptos" w:hAnsi="Aptos"/>
                <w:b w:val="0"/>
                <w:sz w:val="14"/>
              </w:rPr>
              <w:t>8</w:t>
            </w:r>
          </w:p>
        </w:tc>
        <w:tc>
          <w:tcPr>
            <w:tcW w:type="dxa" w:w="1666"/>
            <w:vAlign w:val="center"/>
            <w:shd w:fill="F7F9FB"/>
          </w:tcPr>
          <w:p>
            <w:pPr>
              <w:spacing w:after="20"/>
            </w:pPr>
            <w:r/>
            <w:r>
              <w:rPr>
                <w:rFonts w:ascii="Aptos" w:hAnsi="Aptos"/>
                <w:b w:val="0"/>
                <w:sz w:val="14"/>
              </w:rPr>
              <w:t>Oral contraceptive</w:t>
            </w:r>
          </w:p>
        </w:tc>
        <w:tc>
          <w:tcPr>
            <w:tcW w:type="dxa" w:w="1666"/>
            <w:vAlign w:val="center"/>
            <w:shd w:fill="F7F9FB"/>
          </w:tcPr>
          <w:p>
            <w:pPr>
              <w:spacing w:after="20"/>
            </w:pPr>
            <w:r/>
            <w:r>
              <w:rPr>
                <w:rFonts w:ascii="Aptos" w:hAnsi="Aptos"/>
                <w:b w:val="0"/>
                <w:sz w:val="14"/>
              </w:rPr>
              <w:t>Deep-vein thrombosis confirmed and treated in hospital; listed in stated product information</w:t>
            </w:r>
          </w:p>
        </w:tc>
        <w:tc>
          <w:tcPr>
            <w:tcW w:type="dxa" w:w="1666"/>
            <w:vAlign w:val="center"/>
            <w:shd w:fill="F7F9FB"/>
          </w:tcPr>
          <w:p>
            <w:pPr>
              <w:spacing w:after="20"/>
            </w:pPr>
            <w:r/>
            <w:r>
              <w:rPr>
                <w:rFonts w:ascii="Aptos" w:hAnsi="Aptos"/>
                <w:b w:val="0"/>
                <w:sz w:val="14"/>
              </w:rPr>
              <w:t>Serious</w:t>
            </w:r>
          </w:p>
        </w:tc>
        <w:tc>
          <w:tcPr>
            <w:tcW w:type="dxa" w:w="1666"/>
            <w:vAlign w:val="center"/>
            <w:shd w:fill="F7F9FB"/>
          </w:tcPr>
          <w:p>
            <w:pPr>
              <w:spacing w:after="20"/>
            </w:pPr>
            <w:r/>
            <w:r>
              <w:rPr>
                <w:rFonts w:ascii="Aptos" w:hAnsi="Aptos"/>
                <w:b w:val="0"/>
                <w:sz w:val="14"/>
              </w:rPr>
              <w:t>Expected*</w:t>
            </w:r>
          </w:p>
        </w:tc>
        <w:tc>
          <w:tcPr>
            <w:tcW w:type="dxa" w:w="1666"/>
            <w:vAlign w:val="center"/>
            <w:shd w:fill="F7F9FB"/>
          </w:tcPr>
          <w:p>
            <w:pPr>
              <w:spacing w:after="20"/>
            </w:pPr>
            <w:r/>
            <w:r>
              <w:rPr>
                <w:rFonts w:ascii="Aptos" w:hAnsi="Aptos"/>
                <w:b w:val="0"/>
                <w:sz w:val="14"/>
              </w:rPr>
              <w:t>High</w:t>
            </w:r>
          </w:p>
        </w:tc>
      </w:tr>
      <w:tr>
        <w:tc>
          <w:tcPr>
            <w:tcW w:type="dxa" w:w="1666"/>
            <w:vAlign w:val="center"/>
          </w:tcPr>
          <w:p>
            <w:pPr>
              <w:spacing w:after="20"/>
            </w:pPr>
            <w:r/>
            <w:r>
              <w:rPr>
                <w:rFonts w:ascii="Aptos" w:hAnsi="Aptos"/>
                <w:b w:val="0"/>
                <w:sz w:val="14"/>
              </w:rPr>
              <w:t>9</w:t>
            </w:r>
          </w:p>
        </w:tc>
        <w:tc>
          <w:tcPr>
            <w:tcW w:type="dxa" w:w="1666"/>
            <w:vAlign w:val="center"/>
          </w:tcPr>
          <w:p>
            <w:pPr>
              <w:spacing w:after="20"/>
            </w:pPr>
            <w:r/>
            <w:r>
              <w:rPr>
                <w:rFonts w:ascii="Aptos" w:hAnsi="Aptos"/>
                <w:b w:val="0"/>
                <w:sz w:val="14"/>
              </w:rPr>
              <w:t>Antihistamine</w:t>
            </w:r>
          </w:p>
        </w:tc>
        <w:tc>
          <w:tcPr>
            <w:tcW w:type="dxa" w:w="1666"/>
            <w:vAlign w:val="center"/>
          </w:tcPr>
          <w:p>
            <w:pPr>
              <w:spacing w:after="20"/>
            </w:pPr>
            <w:r/>
            <w:r>
              <w:rPr>
                <w:rFonts w:ascii="Aptos" w:hAnsi="Aptos"/>
                <w:b w:val="0"/>
                <w:sz w:val="14"/>
              </w:rPr>
              <w:t>Marked drowsiness, but no injury, intervention or functional incapacity</w:t>
            </w:r>
          </w:p>
        </w:tc>
        <w:tc>
          <w:tcPr>
            <w:tcW w:type="dxa" w:w="1666"/>
            <w:vAlign w:val="center"/>
          </w:tcPr>
          <w:p>
            <w:pPr>
              <w:spacing w:after="20"/>
            </w:pPr>
            <w:r/>
            <w:r>
              <w:rPr>
                <w:rFonts w:ascii="Aptos" w:hAnsi="Aptos"/>
                <w:b w:val="0"/>
                <w:sz w:val="14"/>
              </w:rPr>
              <w:t>Non-serious</w:t>
            </w:r>
          </w:p>
        </w:tc>
        <w:tc>
          <w:tcPr>
            <w:tcW w:type="dxa" w:w="1666"/>
            <w:vAlign w:val="center"/>
          </w:tcPr>
          <w:p>
            <w:pPr>
              <w:spacing w:after="20"/>
            </w:pPr>
            <w:r/>
            <w:r>
              <w:rPr>
                <w:rFonts w:ascii="Aptos" w:hAnsi="Aptos"/>
                <w:b w:val="0"/>
                <w:sz w:val="14"/>
              </w:rPr>
              <w:t>Expected*</w:t>
            </w:r>
          </w:p>
        </w:tc>
        <w:tc>
          <w:tcPr>
            <w:tcW w:type="dxa" w:w="1666"/>
            <w:vAlign w:val="center"/>
          </w:tcPr>
          <w:p>
            <w:pPr>
              <w:spacing w:after="20"/>
            </w:pPr>
            <w:r/>
            <w:r>
              <w:rPr>
                <w:rFonts w:ascii="Aptos" w:hAnsi="Aptos"/>
                <w:b w:val="0"/>
                <w:sz w:val="14"/>
              </w:rPr>
              <w:t>Low–moderate</w:t>
            </w:r>
          </w:p>
        </w:tc>
      </w:tr>
    </w:tbl>
    <w:p>
      <w:pPr>
        <w:spacing w:after="20"/>
      </w:pPr>
    </w:p>
    <w:p>
      <w:r>
        <w:rPr>
          <w:i/>
          <w:sz w:val="17"/>
        </w:rPr>
        <w:t>*Expectedness in this table is an explicit assumption for the fictional exercise. It must be checked against the actual product information in real pharmacovigilance work.</w:t>
      </w:r>
    </w:p>
    <w:p>
      <w:pPr>
        <w:pStyle w:val="Heading1"/>
        <w:keepNext/>
      </w:pPr>
      <w:r>
        <w:t>7. Individual Case Evaluation</w:t>
      </w:r>
    </w:p>
    <w:p>
      <w:pPr>
        <w:pStyle w:val="Heading2"/>
        <w:keepNext/>
      </w:pPr>
      <w:r>
        <w:t>Case 1 — Metformin-associated nausea</w:t>
      </w:r>
    </w:p>
    <w:p>
      <w:r>
        <w:rPr>
          <w:b/>
        </w:rPr>
        <w:t xml:space="preserve">Case description. </w:t>
      </w:r>
      <w:r>
        <w:t>An adult patient starts metformin and reports mild nausea during the first few days. The patient remains able to eat and drink, requires no medical intervention and continues treatment after routine advice. The scenario assumes nausea is described in the product information.</w:t>
      </w:r>
    </w:p>
    <w:p>
      <w:r>
        <w:rPr>
          <w:b/>
        </w:rPr>
        <w:t xml:space="preserve">Assessment. </w:t>
      </w:r>
      <w:r>
        <w:t>Seriousness: Non-serious, because there is no death, life-threatening condition, hospitalisation, significant disability or medically important event described. Expectedness: Expected, under the stated label assumption. Clinical impact: Low; symptoms may affect comfort and adherence, so counselling and monitoring are appropriate.</w:t>
      </w:r>
    </w:p>
    <w:p>
      <w:pPr>
        <w:pStyle w:val="Heading2"/>
        <w:keepNext/>
      </w:pPr>
      <w:r>
        <w:t>Case 2 — Amoxicillin-associated uncomplicated rash</w:t>
      </w:r>
    </w:p>
    <w:p>
      <w:r>
        <w:rPr>
          <w:b/>
        </w:rPr>
        <w:t xml:space="preserve">Case description. </w:t>
      </w:r>
      <w:r>
        <w:t>A patient taking amoxicillin develops a localised, non-blistering rash. There is no mucosal involvement, breathing difficulty, systemic instability or hospital admission. The scenario assumes rash is included in the product information.</w:t>
      </w:r>
    </w:p>
    <w:p>
      <w:r>
        <w:rPr>
          <w:b/>
        </w:rPr>
        <w:t xml:space="preserve">Assessment. </w:t>
      </w:r>
      <w:r>
        <w:t>Seriousness: Non-serious on the facts provided. Expectedness: Expected under the stated assumption. Clinical impact: Low to moderate. The rash should be clinically assessed, and the patient should receive advice about worsening symptoms. A rash with blistering, mucosal involvement or systemic features would require urgent assessment and could change the classification.</w:t>
      </w:r>
    </w:p>
    <w:p>
      <w:pPr>
        <w:pStyle w:val="Heading2"/>
        <w:keepNext/>
      </w:pPr>
      <w:r>
        <w:t>Case 3 — Warfarin-associated gastrointestinal bleeding</w:t>
      </w:r>
    </w:p>
    <w:p>
      <w:r>
        <w:rPr>
          <w:b/>
        </w:rPr>
        <w:t xml:space="preserve">Case description. </w:t>
      </w:r>
      <w:r>
        <w:t>A patient taking warfarin develops gastrointestinal bleeding and is admitted to hospital for investigation and treatment. The scenario assumes bleeding is a recognised reaction in the applicable product information.</w:t>
      </w:r>
    </w:p>
    <w:p>
      <w:r>
        <w:rPr>
          <w:b/>
        </w:rPr>
        <w:t xml:space="preserve">Assessment. </w:t>
      </w:r>
      <w:r>
        <w:t>Seriousness: Serious because inpatient hospitalisation is required; the event may also be medically important. Expectedness: Expected under the stated assumption. Clinical impact: High due to potential blood loss, haemodynamic instability and need for urgent intervention. The case warrants prompt clinical management and complete safety documentation.</w:t>
      </w:r>
    </w:p>
    <w:p>
      <w:pPr>
        <w:pStyle w:val="Heading2"/>
        <w:keepNext/>
      </w:pPr>
      <w:r>
        <w:t>Case 4 — Penicillin-associated anaphylaxis</w:t>
      </w:r>
    </w:p>
    <w:p>
      <w:r>
        <w:rPr>
          <w:b/>
        </w:rPr>
        <w:t xml:space="preserve">Case description. </w:t>
      </w:r>
      <w:r>
        <w:t>Shortly after receiving penicillin, a patient develops airway compromise and circulatory symptoms consistent with anaphylaxis and receives emergency treatment. The scenario assumes anaphylaxis is described in the relevant product information.</w:t>
      </w:r>
    </w:p>
    <w:p>
      <w:r>
        <w:rPr>
          <w:b/>
        </w:rPr>
        <w:t xml:space="preserve">Assessment. </w:t>
      </w:r>
      <w:r>
        <w:t>Seriousness: Serious because the event is life-threatening and requires urgent intervention. Expectedness: Expected under the stated assumption; a known reaction can still be serious. Clinical impact: Critical because delay in treatment can result in death. Immediate emergency care takes priority over documentation.</w:t>
      </w:r>
    </w:p>
    <w:p>
      <w:pPr>
        <w:pStyle w:val="Heading2"/>
        <w:keepNext/>
      </w:pPr>
      <w:r>
        <w:t>Case 5 — Lamotrigine-associated Stevens–Johnson syndrome</w:t>
      </w:r>
    </w:p>
    <w:p>
      <w:r>
        <w:rPr>
          <w:b/>
        </w:rPr>
        <w:t xml:space="preserve">Case description. </w:t>
      </w:r>
      <w:r>
        <w:t>A patient receiving lamotrigine develops a severe blistering mucocutaneous reaction diagnosed as Stevens–Johnson syndrome and is admitted to hospital. The scenario assumes this reaction is included in the applicable product information.</w:t>
      </w:r>
    </w:p>
    <w:p>
      <w:r>
        <w:rPr>
          <w:b/>
        </w:rPr>
        <w:t xml:space="preserve">Assessment. </w:t>
      </w:r>
      <w:r>
        <w:t>Seriousness: Serious because hospitalisation is required and the condition is medically important. Expectedness: Expected under the stated assumption. Clinical impact: Critical, given the risk of extensive skin and mucosal injury, complications and lasting harm. Urgent specialist management is required.</w:t>
      </w:r>
    </w:p>
    <w:p>
      <w:pPr>
        <w:pStyle w:val="Heading2"/>
        <w:keepNext/>
      </w:pPr>
      <w:r>
        <w:t>Case 6 — Ibuprofen-associated acute kidney injury</w:t>
      </w:r>
    </w:p>
    <w:p>
      <w:r>
        <w:rPr>
          <w:b/>
        </w:rPr>
        <w:t xml:space="preserve">Case description. </w:t>
      </w:r>
      <w:r>
        <w:t>A patient using ibuprofen develops acute kidney injury that requires inpatient monitoring and treatment. The scenario assumes renal injury is described in the applicable product information.</w:t>
      </w:r>
    </w:p>
    <w:p>
      <w:r>
        <w:rPr>
          <w:b/>
        </w:rPr>
        <w:t xml:space="preserve">Assessment. </w:t>
      </w:r>
      <w:r>
        <w:t>Seriousness: Serious because inpatient hospitalisation is required. Expectedness: Expected under the stated assumption. Clinical impact: High; renal impairment may require treatment, monitoring and reassessment of medicines. Recovery and any persistent impairment should be documented.</w:t>
      </w:r>
    </w:p>
    <w:p>
      <w:pPr>
        <w:pStyle w:val="Heading2"/>
        <w:keepNext/>
      </w:pPr>
      <w:r>
        <w:t>Case 7 — Oral contraceptive-associated deep-vein thrombosis</w:t>
      </w:r>
    </w:p>
    <w:p>
      <w:r>
        <w:rPr>
          <w:b/>
        </w:rPr>
        <w:t xml:space="preserve">Case description. </w:t>
      </w:r>
      <w:r>
        <w:t>A patient using a combined oral contraceptive is diagnosed with deep-vein thrombosis and admitted for treatment. The scenario assumes thromboembolic risk is described in the relevant product information.</w:t>
      </w:r>
    </w:p>
    <w:p>
      <w:r>
        <w:rPr>
          <w:b/>
        </w:rPr>
        <w:t xml:space="preserve">Assessment. </w:t>
      </w:r>
      <w:r>
        <w:t>Seriousness: Serious because inpatient hospitalisation is required. Expectedness: Expected under the stated assumption. Clinical impact: High because thrombosis can extend or lead to pulmonary embolism. The event requires clinical treatment and review of ongoing contraceptive options.</w:t>
      </w:r>
    </w:p>
    <w:p>
      <w:pPr>
        <w:pStyle w:val="Heading2"/>
        <w:keepNext/>
      </w:pPr>
      <w:r>
        <w:t>Case 8 — Antihistamine-associated drowsiness</w:t>
      </w:r>
    </w:p>
    <w:p>
      <w:r>
        <w:rPr>
          <w:b/>
        </w:rPr>
        <w:t xml:space="preserve">Case description. </w:t>
      </w:r>
      <w:r>
        <w:t>A patient taking an antihistamine experiences drowsiness but has no accident, injury, hospitalisation or significant inability to perform usual activities. The scenario assumes drowsiness is described in the product information.</w:t>
      </w:r>
    </w:p>
    <w:p>
      <w:r>
        <w:rPr>
          <w:b/>
        </w:rPr>
        <w:t xml:space="preserve">Assessment. </w:t>
      </w:r>
      <w:r>
        <w:t>Seriousness: Non-serious based on the available facts. Expectedness: Expected under the stated assumption. Clinical impact: Low to moderate; it may affect driving, work or falls risk. Advice about avoiding driving or hazardous tasks while drowsy may be appropriate. If serious injury or significant incapacity occurred, reassessment would be needed.</w:t>
      </w:r>
    </w:p>
    <w:p>
      <w:pPr>
        <w:pStyle w:val="Heading1"/>
        <w:keepNext/>
      </w:pPr>
      <w:r>
        <w:t>8. Comparative Analysis and Clinical Implications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D9EAF7"/>
          </w:tcPr>
          <w:p>
            <w:pPr>
              <w:spacing w:after="20"/>
            </w:pPr>
            <w:r/>
            <w:r>
              <w:rPr>
                <w:rFonts w:ascii="Aptos" w:hAnsi="Aptos"/>
                <w:b/>
                <w:color w:val="1F4E79"/>
                <w:sz w:val="16"/>
              </w:rPr>
              <w:t>Classification</w:t>
            </w:r>
          </w:p>
        </w:tc>
        <w:tc>
          <w:tcPr>
            <w:tcW w:type="dxa" w:w="3331"/>
            <w:vAlign w:val="center"/>
            <w:shd w:fill="D9EAF7"/>
          </w:tcPr>
          <w:p>
            <w:pPr>
              <w:spacing w:after="20"/>
            </w:pPr>
            <w:r/>
            <w:r>
              <w:rPr>
                <w:rFonts w:ascii="Aptos" w:hAnsi="Aptos"/>
                <w:b/>
                <w:color w:val="1F4E79"/>
                <w:sz w:val="16"/>
              </w:rPr>
              <w:t>Cases in this exercise</w:t>
            </w:r>
          </w:p>
        </w:tc>
        <w:tc>
          <w:tcPr>
            <w:tcW w:type="dxa" w:w="3331"/>
            <w:vAlign w:val="center"/>
            <w:shd w:fill="D9EAF7"/>
          </w:tcPr>
          <w:p>
            <w:pPr>
              <w:spacing w:after="20"/>
            </w:pPr>
            <w:r/>
            <w:r>
              <w:rPr>
                <w:rFonts w:ascii="Aptos" w:hAnsi="Aptos"/>
                <w:b/>
                <w:color w:val="1F4E79"/>
                <w:sz w:val="16"/>
              </w:rPr>
              <w:t>Interpretation / priority</w:t>
            </w:r>
          </w:p>
        </w:tc>
      </w:tr>
      <w:tr>
        <w:tc>
          <w:tcPr>
            <w:tcW w:type="dxa" w:w="3331"/>
            <w:vAlign w:val="center"/>
          </w:tcPr>
          <w:p>
            <w:pPr>
              <w:spacing w:after="20"/>
            </w:pPr>
            <w:r/>
            <w:r>
              <w:rPr>
                <w:rFonts w:ascii="Aptos" w:hAnsi="Aptos"/>
                <w:b w:val="0"/>
                <w:sz w:val="16"/>
              </w:rPr>
              <w:t>Non-serious + expected</w:t>
            </w:r>
          </w:p>
        </w:tc>
        <w:tc>
          <w:tcPr>
            <w:tcW w:type="dxa" w:w="3331"/>
            <w:vAlign w:val="center"/>
          </w:tcPr>
          <w:p>
            <w:pPr>
              <w:spacing w:after="20"/>
            </w:pPr>
            <w:r/>
            <w:r>
              <w:rPr>
                <w:rFonts w:ascii="Aptos" w:hAnsi="Aptos"/>
                <w:b w:val="0"/>
                <w:sz w:val="16"/>
              </w:rPr>
              <w:t>1, 2, 9</w:t>
            </w:r>
          </w:p>
        </w:tc>
        <w:tc>
          <w:tcPr>
            <w:tcW w:type="dxa" w:w="3331"/>
            <w:vAlign w:val="center"/>
          </w:tcPr>
          <w:p>
            <w:pPr>
              <w:spacing w:after="20"/>
            </w:pPr>
            <w:r/>
            <w:r>
              <w:rPr>
                <w:rFonts w:ascii="Aptos" w:hAnsi="Aptos"/>
                <w:b w:val="0"/>
                <w:sz w:val="16"/>
              </w:rPr>
              <w:t>Usually lower urgency, but document and manage symptoms; monitor for progression.</w:t>
            </w:r>
          </w:p>
        </w:tc>
      </w:tr>
      <w:tr>
        <w:tc>
          <w:tcPr>
            <w:tcW w:type="dxa" w:w="3331"/>
            <w:vAlign w:val="center"/>
            <w:shd w:fill="F7F9FB"/>
          </w:tcPr>
          <w:p>
            <w:pPr>
              <w:spacing w:after="20"/>
            </w:pPr>
            <w:r/>
            <w:r>
              <w:rPr>
                <w:rFonts w:ascii="Aptos" w:hAnsi="Aptos"/>
                <w:b w:val="0"/>
                <w:sz w:val="16"/>
              </w:rPr>
              <w:t>Serious + expected</w:t>
            </w:r>
          </w:p>
        </w:tc>
        <w:tc>
          <w:tcPr>
            <w:tcW w:type="dxa" w:w="3331"/>
            <w:vAlign w:val="center"/>
            <w:shd w:fill="F7F9FB"/>
          </w:tcPr>
          <w:p>
            <w:pPr>
              <w:spacing w:after="20"/>
            </w:pPr>
            <w:r/>
            <w:r>
              <w:rPr>
                <w:rFonts w:ascii="Aptos" w:hAnsi="Aptos"/>
                <w:b w:val="0"/>
                <w:sz w:val="16"/>
              </w:rPr>
              <w:t>3, 4, 6, 7, 8</w:t>
            </w:r>
          </w:p>
        </w:tc>
        <w:tc>
          <w:tcPr>
            <w:tcW w:type="dxa" w:w="3331"/>
            <w:vAlign w:val="center"/>
            <w:shd w:fill="F7F9FB"/>
          </w:tcPr>
          <w:p>
            <w:pPr>
              <w:spacing w:after="20"/>
            </w:pPr>
            <w:r/>
            <w:r>
              <w:rPr>
                <w:rFonts w:ascii="Aptos" w:hAnsi="Aptos"/>
                <w:b w:val="0"/>
                <w:sz w:val="16"/>
              </w:rPr>
              <w:t>Known reactions can still have major clinical consequences. Seriousness drives clinical urgency and applicable reporting obligations.</w:t>
            </w:r>
          </w:p>
        </w:tc>
      </w:tr>
      <w:tr>
        <w:tc>
          <w:tcPr>
            <w:tcW w:type="dxa" w:w="3331"/>
            <w:vAlign w:val="center"/>
          </w:tcPr>
          <w:p>
            <w:pPr>
              <w:spacing w:after="20"/>
            </w:pPr>
            <w:r/>
            <w:r>
              <w:rPr>
                <w:rFonts w:ascii="Aptos" w:hAnsi="Aptos"/>
                <w:b w:val="0"/>
                <w:sz w:val="16"/>
              </w:rPr>
              <w:t>Serious + unexpected</w:t>
            </w:r>
          </w:p>
        </w:tc>
        <w:tc>
          <w:tcPr>
            <w:tcW w:type="dxa" w:w="3331"/>
            <w:vAlign w:val="center"/>
          </w:tcPr>
          <w:p>
            <w:pPr>
              <w:spacing w:after="20"/>
            </w:pPr>
            <w:r/>
            <w:r>
              <w:rPr>
                <w:rFonts w:ascii="Aptos" w:hAnsi="Aptos"/>
                <w:b w:val="0"/>
                <w:sz w:val="16"/>
              </w:rPr>
              <w:t>5, 10</w:t>
            </w:r>
          </w:p>
        </w:tc>
        <w:tc>
          <w:tcPr>
            <w:tcW w:type="dxa" w:w="3331"/>
            <w:vAlign w:val="center"/>
          </w:tcPr>
          <w:p>
            <w:pPr>
              <w:spacing w:after="20"/>
            </w:pPr>
            <w:r/>
            <w:r>
              <w:rPr>
                <w:rFonts w:ascii="Aptos" w:hAnsi="Aptos"/>
                <w:b w:val="0"/>
                <w:sz w:val="16"/>
              </w:rPr>
              <w:t>High-priority safety cases because they are serious and not consistent with the stated product information; prompt review and reporting assessment are warranted.</w:t>
            </w:r>
          </w:p>
        </w:tc>
      </w:tr>
      <w:tr>
        <w:tc>
          <w:tcPr>
            <w:tcW w:type="dxa" w:w="3331"/>
            <w:vAlign w:val="center"/>
            <w:shd w:fill="F7F9FB"/>
          </w:tcPr>
          <w:p>
            <w:pPr>
              <w:spacing w:after="20"/>
            </w:pPr>
            <w:r/>
            <w:r>
              <w:rPr>
                <w:rFonts w:ascii="Aptos" w:hAnsi="Aptos"/>
                <w:b w:val="0"/>
                <w:sz w:val="16"/>
              </w:rPr>
              <w:t>Non-serious + unexpected</w:t>
            </w:r>
          </w:p>
        </w:tc>
        <w:tc>
          <w:tcPr>
            <w:tcW w:type="dxa" w:w="3331"/>
            <w:vAlign w:val="center"/>
            <w:shd w:fill="F7F9FB"/>
          </w:tcPr>
          <w:p>
            <w:pPr>
              <w:spacing w:after="20"/>
            </w:pPr>
            <w:r/>
            <w:r>
              <w:rPr>
                <w:rFonts w:ascii="Aptos" w:hAnsi="Aptos"/>
                <w:b w:val="0"/>
                <w:sz w:val="16"/>
              </w:rPr>
              <w:t>None in this set</w:t>
            </w:r>
          </w:p>
        </w:tc>
        <w:tc>
          <w:tcPr>
            <w:tcW w:type="dxa" w:w="3331"/>
            <w:vAlign w:val="center"/>
            <w:shd w:fill="F7F9FB"/>
          </w:tcPr>
          <w:p>
            <w:pPr>
              <w:spacing w:after="20"/>
            </w:pPr>
            <w:r/>
            <w:r>
              <w:rPr>
                <w:rFonts w:ascii="Aptos" w:hAnsi="Aptos"/>
                <w:b w:val="0"/>
                <w:sz w:val="16"/>
              </w:rPr>
              <w:t>Still important to document and assess under applicable local procedures; unexpectedness alone does not make an event serious.</w:t>
            </w:r>
          </w:p>
        </w:tc>
      </w:tr>
    </w:tbl>
    <w:p>
      <w:pPr>
        <w:spacing w:after="20"/>
      </w:pPr>
    </w:p>
    <w:p>
      <w:r>
        <w:t>The cases demonstrate that expectedness and seriousness answer different questions. Expectedness asks whether the reaction is consistent with the reference safety information; seriousness asks whether the event meets defined outcome or medical-importance criteria. Clinical impact further describes what the event means for the individual patient.</w:t>
      </w:r>
    </w:p>
    <w:p>
      <w:pPr>
        <w:pStyle w:val="Heading1"/>
        <w:keepNext/>
      </w:pPr>
      <w:r>
        <w:t>9. Discussion</w:t>
      </w:r>
    </w:p>
    <w:p>
      <w:r>
        <w:t>The highest immediate clinical priority is an event that is life-threatening or otherwise medically urgent, such as anaphylaxis. Hospitalisation-based cases also meet the seriousness criterion even when the reaction is already described in product information. Conversely, a familiar or expected reaction is not necessarily mild. The unexpected serious cases in this exercise deserve careful evaluation because they may provide new safety information.</w:t>
      </w:r>
    </w:p>
    <w:p>
      <w:r>
        <w:t>Classification can change when follow-up information becomes available. For example, a rash initially described as uncomplicated may later be found to involve mucosal lesions or systemic symptoms. Similarly, a reaction initially considered non-serious may become serious if it leads to hospitalisation, significant disability or another qualifying outcome. Case processors should record the basis for the decision and reassess when new information arrives.</w:t>
      </w:r>
    </w:p>
    <w:p>
      <w:pPr>
        <w:pStyle w:val="Heading1"/>
        <w:keepNext/>
      </w:pPr>
      <w:r>
        <w:t>10. Conclusion</w:t>
      </w:r>
    </w:p>
    <w:p>
      <w:r>
        <w:t>Classifying ADRs by seriousness and expectedness is a core pharmacovigilance activity. Seriousness is based on defined clinical outcomes and medically important events, whereas expectedness is judged against the applicable product information. These dimensions must be assessed independently and interpreted alongside the patient’s clinical condition.</w:t>
      </w:r>
    </w:p>
    <w:p>
      <w:r>
        <w:t>The ten illustrative cases show that serious reactions may be expected or unexpected, and that clinical impact ranges from transient discomfort to life-threatening emergencies. Accurate classification supports appropriate patient care, prioritisation, safety signal evaluation and compliance with applicable reporting requirements.</w:t>
      </w:r>
    </w:p>
    <w:p>
      <w:pPr>
        <w:pStyle w:val="Heading1"/>
        <w:keepNext/>
      </w:pPr>
      <w:r>
        <w:t>References</w:t>
      </w:r>
    </w:p>
    <w:p>
      <w:pPr>
        <w:pStyle w:val="ListNumber"/>
        <w:spacing w:after="80"/>
      </w:pPr>
      <w:r>
        <w:t>International Council for Harmonisation (ICH). E2A: Clinical Safety Data Management—Definitions and Standards for Expedited Reporting. Available at: https://database.ich.org/sites/default/files/E2A_Guideline.pdf</w:t>
      </w:r>
    </w:p>
    <w:p>
      <w:pPr>
        <w:pStyle w:val="ListNumber"/>
        <w:spacing w:after="80"/>
      </w:pPr>
      <w:r>
        <w:t>International Council for Harmonisation (ICH). E2D(R1): Post-Approval Safety Data: Definitions and Standards for Management and Reporting of Individual Case Safety Reports. European Medicines Agency, 2025.</w:t>
      </w:r>
    </w:p>
    <w:p>
      <w:pPr>
        <w:pStyle w:val="ListNumber"/>
        <w:spacing w:after="80"/>
      </w:pPr>
      <w:r>
        <w:t>U.S. Food and Drug Administration. Expedited Safety Reporting Requirements for Human Drug and Biological Products. Available at: https://www.fda.gov/science-research/clinical-trials-and-human-subject-protection/expedited-safety-reporting-requirements-human-drug-and-biological-products</w:t>
      </w:r>
    </w:p>
    <w:p>
      <w:pPr>
        <w:pStyle w:val="ListNumber"/>
        <w:spacing w:after="80"/>
      </w:pPr>
      <w:r>
        <w:t>European Commission. Detailed guidance on the collection, verification and presentation of adverse event/reaction reports arising from clinical trials on medicinal products for human use. Official Journal of the European Union.</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ADR Case Classification and Clinical Impact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6E78"/>
        <w:sz w:val="16"/>
      </w:rPr>
      <w:t>PHARMACOVIGILANCE  |  B.PHARM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5F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