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CFAD8" w14:textId="53FC72BE" w:rsidR="009E5E09" w:rsidRDefault="00000000" w:rsidP="007116CB">
      <w:pPr>
        <w:spacing w:after="40"/>
        <w:jc w:val="center"/>
      </w:pPr>
      <w:r>
        <w:rPr>
          <w:b/>
          <w:bCs/>
          <w:color w:val="1F3864"/>
          <w:sz w:val="44"/>
          <w:szCs w:val="44"/>
        </w:rPr>
        <w:t>Adverse Drug Reactions (ADR)</w:t>
      </w:r>
    </w:p>
    <w:p w14:paraId="4F0FE0DF" w14:textId="77777777" w:rsidR="009E5E09" w:rsidRDefault="009E5E09">
      <w:pPr>
        <w:pBdr>
          <w:bottom w:val="single" w:sz="10" w:space="6" w:color="2E5395"/>
        </w:pBdr>
        <w:spacing w:after="300"/>
        <w:jc w:val="center"/>
      </w:pPr>
    </w:p>
    <w:p w14:paraId="2F32B1E4" w14:textId="77777777" w:rsidR="009E5E09" w:rsidRDefault="00000000">
      <w:pPr>
        <w:pStyle w:val="Heading1"/>
        <w:pBdr>
          <w:bottom w:val="single" w:sz="6" w:space="4" w:color="1F3864"/>
        </w:pBdr>
        <w:spacing w:before="320" w:after="160"/>
      </w:pPr>
      <w:r>
        <w:rPr>
          <w:b/>
          <w:bCs/>
          <w:color w:val="1F3864"/>
          <w:sz w:val="30"/>
          <w:szCs w:val="30"/>
        </w:rPr>
        <w:t>1. Introduction to Adverse Drug Reactions</w:t>
      </w:r>
    </w:p>
    <w:p w14:paraId="46DF3A5D" w14:textId="77777777" w:rsidR="009E5E09" w:rsidRDefault="00000000">
      <w:pPr>
        <w:spacing w:after="120" w:line="300" w:lineRule="auto"/>
      </w:pPr>
      <w:r>
        <w:rPr>
          <w:sz w:val="22"/>
          <w:szCs w:val="22"/>
        </w:rPr>
        <w:t>An Adverse Drug Reaction (ADR) is defined as a harmful, unwanted, and unintended response to a drug. ADRs occur at normal therapeutic doses used for prophylaxis, diagnosis, or treatment of disease.</w:t>
      </w:r>
    </w:p>
    <w:p w14:paraId="7CCEE703" w14:textId="77777777" w:rsidR="009E5E09" w:rsidRDefault="00000000">
      <w:pPr>
        <w:pStyle w:val="Heading2"/>
        <w:spacing w:before="260" w:after="120"/>
      </w:pPr>
      <w:r>
        <w:rPr>
          <w:b/>
          <w:bCs/>
          <w:color w:val="2E5395"/>
          <w:sz w:val="24"/>
          <w:szCs w:val="24"/>
        </w:rPr>
        <w:t>Historical Perspective</w:t>
      </w:r>
    </w:p>
    <w:p w14:paraId="28814724" w14:textId="77777777" w:rsidR="009E5E09" w:rsidRDefault="00000000">
      <w:pPr>
        <w:spacing w:after="120" w:line="300" w:lineRule="auto"/>
      </w:pPr>
      <w:r>
        <w:rPr>
          <w:sz w:val="22"/>
          <w:szCs w:val="22"/>
        </w:rPr>
        <w:t>In the 1950s, thalidomide was introduced to treat nausea and vomiting during pregnancy. Its use resulted in phocomelia — the birth of infants with seal-like, underdeveloped limbs. This tragedy became a landmark event in the history of drug safety and led to the establishment of modern pharmacovigilance systems.</w:t>
      </w:r>
    </w:p>
    <w:p w14:paraId="0292FD09" w14:textId="77777777" w:rsidR="009E5E09" w:rsidRDefault="00000000">
      <w:pPr>
        <w:pStyle w:val="Heading1"/>
        <w:pBdr>
          <w:bottom w:val="single" w:sz="6" w:space="4" w:color="1F3864"/>
        </w:pBdr>
        <w:spacing w:before="320" w:after="160"/>
      </w:pPr>
      <w:r>
        <w:rPr>
          <w:b/>
          <w:bCs/>
          <w:color w:val="1F3864"/>
          <w:sz w:val="30"/>
          <w:szCs w:val="30"/>
        </w:rPr>
        <w:t>2. Classification of ADR (Rawlins–Thompson Classification)</w:t>
      </w:r>
    </w:p>
    <w:p w14:paraId="5C01E449" w14:textId="77777777" w:rsidR="009E5E09" w:rsidRDefault="00000000">
      <w:pPr>
        <w:spacing w:after="120" w:line="300" w:lineRule="auto"/>
      </w:pPr>
      <w:r>
        <w:rPr>
          <w:sz w:val="22"/>
          <w:szCs w:val="22"/>
        </w:rPr>
        <w:t>ADRs are broadly classified into six types (Type A to Type F) based on their mechanism, predictability, and dose-relationship: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3600"/>
        <w:gridCol w:w="2700"/>
      </w:tblGrid>
      <w:tr w:rsidR="009E5E09" w14:paraId="11E803E1" w14:textId="77777777">
        <w:trPr>
          <w:tblHeader/>
        </w:trPr>
        <w:tc>
          <w:tcPr>
            <w:tcW w:w="1000" w:type="dxa"/>
            <w:shd w:val="clear" w:color="auto" w:fill="1F3864"/>
            <w:tcMar>
              <w:top w:w="80" w:type="dxa"/>
              <w:left w:w="100" w:type="dxa"/>
              <w:bottom w:w="80" w:type="dxa"/>
              <w:right w:w="100" w:type="dxa"/>
            </w:tcMar>
          </w:tcPr>
          <w:p w14:paraId="4F9FB031" w14:textId="77777777" w:rsidR="009E5E09" w:rsidRDefault="00000000">
            <w:pPr>
              <w:spacing w:before="40" w:after="40"/>
            </w:pPr>
            <w:r>
              <w:rPr>
                <w:b/>
                <w:bCs/>
                <w:color w:val="FFFFFF"/>
              </w:rPr>
              <w:t>Type</w:t>
            </w:r>
          </w:p>
        </w:tc>
        <w:tc>
          <w:tcPr>
            <w:tcW w:w="1700" w:type="dxa"/>
            <w:shd w:val="clear" w:color="auto" w:fill="1F3864"/>
            <w:tcMar>
              <w:top w:w="80" w:type="dxa"/>
              <w:left w:w="100" w:type="dxa"/>
              <w:bottom w:w="80" w:type="dxa"/>
              <w:right w:w="100" w:type="dxa"/>
            </w:tcMar>
          </w:tcPr>
          <w:p w14:paraId="3C373951" w14:textId="77777777" w:rsidR="009E5E09" w:rsidRDefault="00000000">
            <w:pPr>
              <w:spacing w:before="40" w:after="40"/>
            </w:pPr>
            <w:r>
              <w:rPr>
                <w:b/>
                <w:bCs/>
                <w:color w:val="FFFFFF"/>
              </w:rPr>
              <w:t>Name</w:t>
            </w:r>
          </w:p>
        </w:tc>
        <w:tc>
          <w:tcPr>
            <w:tcW w:w="3600" w:type="dxa"/>
            <w:shd w:val="clear" w:color="auto" w:fill="1F3864"/>
            <w:tcMar>
              <w:top w:w="80" w:type="dxa"/>
              <w:left w:w="100" w:type="dxa"/>
              <w:bottom w:w="80" w:type="dxa"/>
              <w:right w:w="100" w:type="dxa"/>
            </w:tcMar>
          </w:tcPr>
          <w:p w14:paraId="2D9EB962" w14:textId="77777777" w:rsidR="009E5E09" w:rsidRDefault="00000000">
            <w:pPr>
              <w:spacing w:before="40" w:after="40"/>
            </w:pPr>
            <w:r>
              <w:rPr>
                <w:b/>
                <w:bCs/>
                <w:color w:val="FFFFFF"/>
              </w:rPr>
              <w:t>Features</w:t>
            </w:r>
          </w:p>
        </w:tc>
        <w:tc>
          <w:tcPr>
            <w:tcW w:w="2700" w:type="dxa"/>
            <w:shd w:val="clear" w:color="auto" w:fill="1F3864"/>
            <w:tcMar>
              <w:top w:w="80" w:type="dxa"/>
              <w:left w:w="100" w:type="dxa"/>
              <w:bottom w:w="80" w:type="dxa"/>
              <w:right w:w="100" w:type="dxa"/>
            </w:tcMar>
          </w:tcPr>
          <w:p w14:paraId="3D3AC017" w14:textId="77777777" w:rsidR="009E5E09" w:rsidRDefault="00000000">
            <w:pPr>
              <w:spacing w:before="40" w:after="40"/>
            </w:pPr>
            <w:r>
              <w:rPr>
                <w:b/>
                <w:bCs/>
                <w:color w:val="FFFFFF"/>
              </w:rPr>
              <w:t>Example</w:t>
            </w:r>
          </w:p>
        </w:tc>
      </w:tr>
      <w:tr w:rsidR="009E5E09" w14:paraId="71CBD49F" w14:textId="77777777">
        <w:tc>
          <w:tcPr>
            <w:tcW w:w="1000" w:type="dxa"/>
            <w:tcMar>
              <w:top w:w="80" w:type="dxa"/>
              <w:left w:w="100" w:type="dxa"/>
              <w:bottom w:w="80" w:type="dxa"/>
              <w:right w:w="100" w:type="dxa"/>
            </w:tcMar>
          </w:tcPr>
          <w:p w14:paraId="0CE99A32" w14:textId="77777777" w:rsidR="009E5E09" w:rsidRDefault="00000000">
            <w:pPr>
              <w:spacing w:before="40" w:after="40"/>
            </w:pPr>
            <w:r>
              <w:t>A</w:t>
            </w:r>
          </w:p>
        </w:tc>
        <w:tc>
          <w:tcPr>
            <w:tcW w:w="1700" w:type="dxa"/>
            <w:tcMar>
              <w:top w:w="80" w:type="dxa"/>
              <w:left w:w="100" w:type="dxa"/>
              <w:bottom w:w="80" w:type="dxa"/>
              <w:right w:w="100" w:type="dxa"/>
            </w:tcMar>
          </w:tcPr>
          <w:p w14:paraId="78CD2044" w14:textId="77777777" w:rsidR="009E5E09" w:rsidRDefault="00000000">
            <w:pPr>
              <w:spacing w:before="40" w:after="40"/>
            </w:pPr>
            <w:r>
              <w:t>Augmented</w:t>
            </w:r>
          </w:p>
        </w:tc>
        <w:tc>
          <w:tcPr>
            <w:tcW w:w="3600" w:type="dxa"/>
            <w:tcMar>
              <w:top w:w="80" w:type="dxa"/>
              <w:left w:w="100" w:type="dxa"/>
              <w:bottom w:w="80" w:type="dxa"/>
              <w:right w:w="100" w:type="dxa"/>
            </w:tcMar>
          </w:tcPr>
          <w:p w14:paraId="705BC211" w14:textId="77777777" w:rsidR="009E5E09" w:rsidRDefault="00000000">
            <w:pPr>
              <w:spacing w:before="40" w:after="40"/>
            </w:pPr>
            <w:r>
              <w:t>Dose-related; predictable; common</w:t>
            </w:r>
          </w:p>
        </w:tc>
        <w:tc>
          <w:tcPr>
            <w:tcW w:w="2700" w:type="dxa"/>
            <w:tcMar>
              <w:top w:w="80" w:type="dxa"/>
              <w:left w:w="100" w:type="dxa"/>
              <w:bottom w:w="80" w:type="dxa"/>
              <w:right w:w="100" w:type="dxa"/>
            </w:tcMar>
          </w:tcPr>
          <w:p w14:paraId="0B30FFA3" w14:textId="4FA533EA" w:rsidR="009E5E09" w:rsidRDefault="00EF29DA">
            <w:pPr>
              <w:spacing w:before="40" w:after="40"/>
            </w:pPr>
            <w:r>
              <w:t>Excess Sedation with CNS depressants</w:t>
            </w:r>
          </w:p>
        </w:tc>
      </w:tr>
      <w:tr w:rsidR="009E5E09" w14:paraId="3850EC77" w14:textId="77777777">
        <w:tc>
          <w:tcPr>
            <w:tcW w:w="1000" w:type="dxa"/>
            <w:shd w:val="clear" w:color="auto" w:fill="EAF0F8"/>
            <w:tcMar>
              <w:top w:w="80" w:type="dxa"/>
              <w:left w:w="100" w:type="dxa"/>
              <w:bottom w:w="80" w:type="dxa"/>
              <w:right w:w="100" w:type="dxa"/>
            </w:tcMar>
          </w:tcPr>
          <w:p w14:paraId="33A8D1BF" w14:textId="77777777" w:rsidR="009E5E09" w:rsidRDefault="00000000">
            <w:pPr>
              <w:spacing w:before="40" w:after="40"/>
            </w:pPr>
            <w:r>
              <w:t>B</w:t>
            </w:r>
          </w:p>
        </w:tc>
        <w:tc>
          <w:tcPr>
            <w:tcW w:w="1700" w:type="dxa"/>
            <w:shd w:val="clear" w:color="auto" w:fill="EAF0F8"/>
            <w:tcMar>
              <w:top w:w="80" w:type="dxa"/>
              <w:left w:w="100" w:type="dxa"/>
              <w:bottom w:w="80" w:type="dxa"/>
              <w:right w:w="100" w:type="dxa"/>
            </w:tcMar>
          </w:tcPr>
          <w:p w14:paraId="6E835B22" w14:textId="77777777" w:rsidR="009E5E09" w:rsidRDefault="00000000">
            <w:pPr>
              <w:spacing w:before="40" w:after="40"/>
            </w:pPr>
            <w:r>
              <w:t>Bizarre</w:t>
            </w:r>
          </w:p>
        </w:tc>
        <w:tc>
          <w:tcPr>
            <w:tcW w:w="3600" w:type="dxa"/>
            <w:shd w:val="clear" w:color="auto" w:fill="EAF0F8"/>
            <w:tcMar>
              <w:top w:w="80" w:type="dxa"/>
              <w:left w:w="100" w:type="dxa"/>
              <w:bottom w:w="80" w:type="dxa"/>
              <w:right w:w="100" w:type="dxa"/>
            </w:tcMar>
          </w:tcPr>
          <w:p w14:paraId="404C23E2" w14:textId="77777777" w:rsidR="009E5E09" w:rsidRDefault="00000000">
            <w:pPr>
              <w:spacing w:before="40" w:after="40"/>
            </w:pPr>
            <w:r>
              <w:t>Not dose-related; rare; unpredictable</w:t>
            </w:r>
          </w:p>
        </w:tc>
        <w:tc>
          <w:tcPr>
            <w:tcW w:w="2700" w:type="dxa"/>
            <w:shd w:val="clear" w:color="auto" w:fill="EAF0F8"/>
            <w:tcMar>
              <w:top w:w="80" w:type="dxa"/>
              <w:left w:w="100" w:type="dxa"/>
              <w:bottom w:w="80" w:type="dxa"/>
              <w:right w:w="100" w:type="dxa"/>
            </w:tcMar>
          </w:tcPr>
          <w:p w14:paraId="44096ABF" w14:textId="77777777" w:rsidR="009E5E09" w:rsidRDefault="00000000">
            <w:pPr>
              <w:spacing w:before="40" w:after="40"/>
            </w:pPr>
            <w:r>
              <w:t>Anaphylaxis</w:t>
            </w:r>
          </w:p>
        </w:tc>
      </w:tr>
      <w:tr w:rsidR="009E5E09" w14:paraId="3D8DA548" w14:textId="77777777">
        <w:tc>
          <w:tcPr>
            <w:tcW w:w="1000" w:type="dxa"/>
            <w:tcMar>
              <w:top w:w="80" w:type="dxa"/>
              <w:left w:w="100" w:type="dxa"/>
              <w:bottom w:w="80" w:type="dxa"/>
              <w:right w:w="100" w:type="dxa"/>
            </w:tcMar>
          </w:tcPr>
          <w:p w14:paraId="138C6B39" w14:textId="77777777" w:rsidR="009E5E09" w:rsidRDefault="00000000">
            <w:pPr>
              <w:spacing w:before="40" w:after="40"/>
            </w:pPr>
            <w:r>
              <w:t>C</w:t>
            </w:r>
          </w:p>
        </w:tc>
        <w:tc>
          <w:tcPr>
            <w:tcW w:w="1700" w:type="dxa"/>
            <w:tcMar>
              <w:top w:w="80" w:type="dxa"/>
              <w:left w:w="100" w:type="dxa"/>
              <w:bottom w:w="80" w:type="dxa"/>
              <w:right w:w="100" w:type="dxa"/>
            </w:tcMar>
          </w:tcPr>
          <w:p w14:paraId="0CFA22F5" w14:textId="77777777" w:rsidR="009E5E09" w:rsidRDefault="00000000">
            <w:pPr>
              <w:spacing w:before="40" w:after="40"/>
            </w:pPr>
            <w:r>
              <w:t>Chronic</w:t>
            </w:r>
          </w:p>
        </w:tc>
        <w:tc>
          <w:tcPr>
            <w:tcW w:w="3600" w:type="dxa"/>
            <w:tcMar>
              <w:top w:w="80" w:type="dxa"/>
              <w:left w:w="100" w:type="dxa"/>
              <w:bottom w:w="80" w:type="dxa"/>
              <w:right w:w="100" w:type="dxa"/>
            </w:tcMar>
          </w:tcPr>
          <w:p w14:paraId="731BBBC9" w14:textId="77777777" w:rsidR="009E5E09" w:rsidRDefault="00000000">
            <w:pPr>
              <w:spacing w:before="40" w:after="40"/>
            </w:pPr>
            <w:r>
              <w:t>Cumulative dose; time-related</w:t>
            </w:r>
          </w:p>
        </w:tc>
        <w:tc>
          <w:tcPr>
            <w:tcW w:w="2700" w:type="dxa"/>
            <w:tcMar>
              <w:top w:w="80" w:type="dxa"/>
              <w:left w:w="100" w:type="dxa"/>
              <w:bottom w:w="80" w:type="dxa"/>
              <w:right w:w="100" w:type="dxa"/>
            </w:tcMar>
          </w:tcPr>
          <w:p w14:paraId="0A00035C" w14:textId="77777777" w:rsidR="009E5E09" w:rsidRDefault="00000000">
            <w:pPr>
              <w:spacing w:before="40" w:after="40"/>
            </w:pPr>
            <w:r>
              <w:t>Adrenal suppression with long-term steroid use</w:t>
            </w:r>
          </w:p>
        </w:tc>
      </w:tr>
      <w:tr w:rsidR="009E5E09" w14:paraId="4954B4FD" w14:textId="77777777">
        <w:tc>
          <w:tcPr>
            <w:tcW w:w="1000" w:type="dxa"/>
            <w:shd w:val="clear" w:color="auto" w:fill="EAF0F8"/>
            <w:tcMar>
              <w:top w:w="80" w:type="dxa"/>
              <w:left w:w="100" w:type="dxa"/>
              <w:bottom w:w="80" w:type="dxa"/>
              <w:right w:w="100" w:type="dxa"/>
            </w:tcMar>
          </w:tcPr>
          <w:p w14:paraId="7E0A9238" w14:textId="77777777" w:rsidR="009E5E09" w:rsidRDefault="00000000">
            <w:pPr>
              <w:spacing w:before="40" w:after="40"/>
            </w:pPr>
            <w:r>
              <w:t>D</w:t>
            </w:r>
          </w:p>
        </w:tc>
        <w:tc>
          <w:tcPr>
            <w:tcW w:w="1700" w:type="dxa"/>
            <w:shd w:val="clear" w:color="auto" w:fill="EAF0F8"/>
            <w:tcMar>
              <w:top w:w="80" w:type="dxa"/>
              <w:left w:w="100" w:type="dxa"/>
              <w:bottom w:w="80" w:type="dxa"/>
              <w:right w:w="100" w:type="dxa"/>
            </w:tcMar>
          </w:tcPr>
          <w:p w14:paraId="76987117" w14:textId="77777777" w:rsidR="009E5E09" w:rsidRDefault="00000000">
            <w:pPr>
              <w:spacing w:before="40" w:after="40"/>
            </w:pPr>
            <w:r>
              <w:t>Delayed</w:t>
            </w:r>
          </w:p>
        </w:tc>
        <w:tc>
          <w:tcPr>
            <w:tcW w:w="3600" w:type="dxa"/>
            <w:shd w:val="clear" w:color="auto" w:fill="EAF0F8"/>
            <w:tcMar>
              <w:top w:w="80" w:type="dxa"/>
              <w:left w:w="100" w:type="dxa"/>
              <w:bottom w:w="80" w:type="dxa"/>
              <w:right w:w="100" w:type="dxa"/>
            </w:tcMar>
          </w:tcPr>
          <w:p w14:paraId="51377E35" w14:textId="77777777" w:rsidR="009E5E09" w:rsidRDefault="00000000">
            <w:pPr>
              <w:spacing w:before="40" w:after="40"/>
            </w:pPr>
            <w:r>
              <w:t>Occurs after a delay</w:t>
            </w:r>
          </w:p>
        </w:tc>
        <w:tc>
          <w:tcPr>
            <w:tcW w:w="2700" w:type="dxa"/>
            <w:shd w:val="clear" w:color="auto" w:fill="EAF0F8"/>
            <w:tcMar>
              <w:top w:w="80" w:type="dxa"/>
              <w:left w:w="100" w:type="dxa"/>
              <w:bottom w:w="80" w:type="dxa"/>
              <w:right w:w="100" w:type="dxa"/>
            </w:tcMar>
          </w:tcPr>
          <w:p w14:paraId="58F1A506" w14:textId="77777777" w:rsidR="009E5E09" w:rsidRDefault="00000000">
            <w:pPr>
              <w:spacing w:before="40" w:after="40"/>
            </w:pPr>
            <w:r>
              <w:t>Teratogenesis</w:t>
            </w:r>
          </w:p>
        </w:tc>
      </w:tr>
      <w:tr w:rsidR="009E5E09" w14:paraId="06583C8D" w14:textId="77777777">
        <w:tc>
          <w:tcPr>
            <w:tcW w:w="1000" w:type="dxa"/>
            <w:tcMar>
              <w:top w:w="80" w:type="dxa"/>
              <w:left w:w="100" w:type="dxa"/>
              <w:bottom w:w="80" w:type="dxa"/>
              <w:right w:w="100" w:type="dxa"/>
            </w:tcMar>
          </w:tcPr>
          <w:p w14:paraId="51B037A2" w14:textId="77777777" w:rsidR="009E5E09" w:rsidRDefault="00000000">
            <w:pPr>
              <w:spacing w:before="40" w:after="40"/>
            </w:pPr>
            <w:r>
              <w:t>E</w:t>
            </w:r>
          </w:p>
        </w:tc>
        <w:tc>
          <w:tcPr>
            <w:tcW w:w="1700" w:type="dxa"/>
            <w:tcMar>
              <w:top w:w="80" w:type="dxa"/>
              <w:left w:w="100" w:type="dxa"/>
              <w:bottom w:w="80" w:type="dxa"/>
              <w:right w:w="100" w:type="dxa"/>
            </w:tcMar>
          </w:tcPr>
          <w:p w14:paraId="70532701" w14:textId="77777777" w:rsidR="009E5E09" w:rsidRDefault="00000000">
            <w:pPr>
              <w:spacing w:before="40" w:after="40"/>
            </w:pPr>
            <w:r>
              <w:t>End of use</w:t>
            </w:r>
          </w:p>
        </w:tc>
        <w:tc>
          <w:tcPr>
            <w:tcW w:w="3600" w:type="dxa"/>
            <w:tcMar>
              <w:top w:w="80" w:type="dxa"/>
              <w:left w:w="100" w:type="dxa"/>
              <w:bottom w:w="80" w:type="dxa"/>
              <w:right w:w="100" w:type="dxa"/>
            </w:tcMar>
          </w:tcPr>
          <w:p w14:paraId="410C3372" w14:textId="77777777" w:rsidR="009E5E09" w:rsidRDefault="00000000">
            <w:pPr>
              <w:spacing w:before="40" w:after="40"/>
            </w:pPr>
            <w:r>
              <w:t>Occurs on withdrawal</w:t>
            </w:r>
          </w:p>
        </w:tc>
        <w:tc>
          <w:tcPr>
            <w:tcW w:w="2700" w:type="dxa"/>
            <w:tcMar>
              <w:top w:w="80" w:type="dxa"/>
              <w:left w:w="100" w:type="dxa"/>
              <w:bottom w:w="80" w:type="dxa"/>
              <w:right w:w="100" w:type="dxa"/>
            </w:tcMar>
          </w:tcPr>
          <w:p w14:paraId="0C1E6D6A" w14:textId="77777777" w:rsidR="009E5E09" w:rsidRDefault="00000000">
            <w:pPr>
              <w:spacing w:before="40" w:after="40"/>
            </w:pPr>
            <w:r>
              <w:t>Withdrawal seizures</w:t>
            </w:r>
          </w:p>
        </w:tc>
      </w:tr>
      <w:tr w:rsidR="009E5E09" w14:paraId="1E884AAB" w14:textId="77777777">
        <w:tc>
          <w:tcPr>
            <w:tcW w:w="1000" w:type="dxa"/>
            <w:shd w:val="clear" w:color="auto" w:fill="EAF0F8"/>
            <w:tcMar>
              <w:top w:w="80" w:type="dxa"/>
              <w:left w:w="100" w:type="dxa"/>
              <w:bottom w:w="80" w:type="dxa"/>
              <w:right w:w="100" w:type="dxa"/>
            </w:tcMar>
          </w:tcPr>
          <w:p w14:paraId="021793D1" w14:textId="77777777" w:rsidR="009E5E09" w:rsidRDefault="00000000">
            <w:pPr>
              <w:spacing w:before="40" w:after="40"/>
            </w:pPr>
            <w:r>
              <w:t>F</w:t>
            </w:r>
          </w:p>
        </w:tc>
        <w:tc>
          <w:tcPr>
            <w:tcW w:w="1700" w:type="dxa"/>
            <w:shd w:val="clear" w:color="auto" w:fill="EAF0F8"/>
            <w:tcMar>
              <w:top w:w="80" w:type="dxa"/>
              <w:left w:w="100" w:type="dxa"/>
              <w:bottom w:w="80" w:type="dxa"/>
              <w:right w:w="100" w:type="dxa"/>
            </w:tcMar>
          </w:tcPr>
          <w:p w14:paraId="5D8E5AF1" w14:textId="77777777" w:rsidR="009E5E09" w:rsidRDefault="00000000">
            <w:pPr>
              <w:spacing w:before="40" w:after="40"/>
            </w:pPr>
            <w:r>
              <w:t>Failure</w:t>
            </w:r>
          </w:p>
        </w:tc>
        <w:tc>
          <w:tcPr>
            <w:tcW w:w="3600" w:type="dxa"/>
            <w:shd w:val="clear" w:color="auto" w:fill="EAF0F8"/>
            <w:tcMar>
              <w:top w:w="80" w:type="dxa"/>
              <w:left w:w="100" w:type="dxa"/>
              <w:bottom w:w="80" w:type="dxa"/>
              <w:right w:w="100" w:type="dxa"/>
            </w:tcMar>
          </w:tcPr>
          <w:p w14:paraId="3943BB3A" w14:textId="77777777" w:rsidR="009E5E09" w:rsidRDefault="00000000">
            <w:pPr>
              <w:spacing w:before="40" w:after="40"/>
            </w:pPr>
            <w:r>
              <w:t>Unexpected failure of therapy</w:t>
            </w:r>
          </w:p>
        </w:tc>
        <w:tc>
          <w:tcPr>
            <w:tcW w:w="2700" w:type="dxa"/>
            <w:shd w:val="clear" w:color="auto" w:fill="EAF0F8"/>
            <w:tcMar>
              <w:top w:w="80" w:type="dxa"/>
              <w:left w:w="100" w:type="dxa"/>
              <w:bottom w:w="80" w:type="dxa"/>
              <w:right w:w="100" w:type="dxa"/>
            </w:tcMar>
          </w:tcPr>
          <w:p w14:paraId="76726B38" w14:textId="77777777" w:rsidR="009E5E09" w:rsidRDefault="00000000">
            <w:pPr>
              <w:spacing w:before="40" w:after="40"/>
            </w:pPr>
            <w:r>
              <w:t>Treatment failure (e.g., oral contraceptive failure)</w:t>
            </w:r>
          </w:p>
        </w:tc>
      </w:tr>
    </w:tbl>
    <w:p w14:paraId="6DA53765" w14:textId="77777777" w:rsidR="009E5E09" w:rsidRDefault="009E5E09">
      <w:pPr>
        <w:spacing w:after="200"/>
      </w:pPr>
    </w:p>
    <w:p w14:paraId="764AFD26" w14:textId="77777777" w:rsidR="009E5E09" w:rsidRDefault="00000000">
      <w:pPr>
        <w:pBdr>
          <w:left w:val="single" w:sz="18" w:space="8" w:color="2E5395"/>
        </w:pBdr>
        <w:shd w:val="clear" w:color="auto" w:fill="EAF0F8"/>
        <w:spacing w:before="60" w:after="140"/>
        <w:ind w:left="360"/>
      </w:pPr>
      <w:r>
        <w:rPr>
          <w:b/>
          <w:bCs/>
          <w:i/>
          <w:iCs/>
          <w:color w:val="2E5395"/>
          <w:sz w:val="21"/>
          <w:szCs w:val="21"/>
        </w:rPr>
        <w:t xml:space="preserve">Example: </w:t>
      </w:r>
      <w:r>
        <w:rPr>
          <w:i/>
          <w:iCs/>
          <w:color w:val="333333"/>
          <w:sz w:val="21"/>
          <w:szCs w:val="21"/>
        </w:rPr>
        <w:t>Nifedipine blocks calcium (Ca²⁺) channels; longer blockade results in hypotension — an example of pharmacological toxicity.</w:t>
      </w:r>
    </w:p>
    <w:p w14:paraId="35DE8488" w14:textId="77777777" w:rsidR="009E5E09" w:rsidRDefault="00000000">
      <w:pPr>
        <w:pStyle w:val="Heading1"/>
        <w:pBdr>
          <w:bottom w:val="single" w:sz="6" w:space="4" w:color="1F3864"/>
        </w:pBdr>
        <w:spacing w:before="320" w:after="160"/>
      </w:pPr>
      <w:r>
        <w:rPr>
          <w:b/>
          <w:bCs/>
          <w:color w:val="1F3864"/>
          <w:sz w:val="30"/>
          <w:szCs w:val="30"/>
        </w:rPr>
        <w:t>3. Toxic Effects Produced by Drugs</w:t>
      </w:r>
    </w:p>
    <w:p w14:paraId="348F1446" w14:textId="77777777" w:rsidR="009E5E09" w:rsidRDefault="00000000">
      <w:pPr>
        <w:pStyle w:val="Heading2"/>
        <w:spacing w:before="260" w:after="120"/>
      </w:pPr>
      <w:r>
        <w:rPr>
          <w:b/>
          <w:bCs/>
          <w:color w:val="2E5395"/>
          <w:sz w:val="24"/>
          <w:szCs w:val="24"/>
        </w:rPr>
        <w:t>3.1  Pharmacological Toxicity</w:t>
      </w:r>
    </w:p>
    <w:p w14:paraId="7009841D" w14:textId="77777777" w:rsidR="009E5E09" w:rsidRDefault="00000000">
      <w:pPr>
        <w:spacing w:after="120" w:line="300" w:lineRule="auto"/>
      </w:pPr>
      <w:r>
        <w:rPr>
          <w:sz w:val="22"/>
          <w:szCs w:val="22"/>
        </w:rPr>
        <w:t>Toxicity created by an exaggeration of the therapeutic effect produced by the drug; it can be predicted from the drug's known pharmacology.</w:t>
      </w:r>
    </w:p>
    <w:p w14:paraId="381E3FB3" w14:textId="77777777" w:rsidR="009E5E09" w:rsidRDefault="00000000">
      <w:pPr>
        <w:pBdr>
          <w:left w:val="single" w:sz="18" w:space="8" w:color="2E5395"/>
        </w:pBdr>
        <w:shd w:val="clear" w:color="auto" w:fill="EAF0F8"/>
        <w:spacing w:before="60" w:after="140"/>
        <w:ind w:left="360"/>
      </w:pPr>
      <w:r>
        <w:rPr>
          <w:b/>
          <w:bCs/>
          <w:i/>
          <w:iCs/>
          <w:color w:val="2E5395"/>
          <w:sz w:val="21"/>
          <w:szCs w:val="21"/>
        </w:rPr>
        <w:t xml:space="preserve">Example: </w:t>
      </w:r>
      <w:r>
        <w:rPr>
          <w:i/>
          <w:iCs/>
          <w:color w:val="333333"/>
          <w:sz w:val="21"/>
          <w:szCs w:val="21"/>
        </w:rPr>
        <w:t>Nifedipine blocks Ca²⁺ channels; prolonged blockade results in hypotension.</w:t>
      </w:r>
    </w:p>
    <w:p w14:paraId="7B7E96E8" w14:textId="77777777" w:rsidR="009E5E09" w:rsidRDefault="00000000">
      <w:pPr>
        <w:pStyle w:val="Heading2"/>
        <w:spacing w:before="260" w:after="120"/>
      </w:pPr>
      <w:r>
        <w:rPr>
          <w:b/>
          <w:bCs/>
          <w:color w:val="2E5395"/>
          <w:sz w:val="24"/>
          <w:szCs w:val="24"/>
        </w:rPr>
        <w:t>3.2  Pathological Toxicity</w:t>
      </w:r>
    </w:p>
    <w:p w14:paraId="42703D2A" w14:textId="77777777" w:rsidR="009E5E09" w:rsidRDefault="00000000">
      <w:pPr>
        <w:spacing w:after="120" w:line="300" w:lineRule="auto"/>
      </w:pPr>
      <w:r>
        <w:rPr>
          <w:sz w:val="22"/>
          <w:szCs w:val="22"/>
        </w:rPr>
        <w:lastRenderedPageBreak/>
        <w:t>Toxicity created by the drug that leads to cell injury or organ damage is called pathological toxicity.</w:t>
      </w:r>
    </w:p>
    <w:p w14:paraId="66E749E6" w14:textId="77777777" w:rsidR="009E5E09" w:rsidRDefault="00000000">
      <w:pPr>
        <w:pBdr>
          <w:left w:val="single" w:sz="18" w:space="8" w:color="2E5395"/>
        </w:pBdr>
        <w:shd w:val="clear" w:color="auto" w:fill="EAF0F8"/>
        <w:spacing w:before="60" w:after="140"/>
        <w:ind w:left="360"/>
      </w:pPr>
      <w:r>
        <w:rPr>
          <w:b/>
          <w:bCs/>
          <w:i/>
          <w:iCs/>
          <w:color w:val="2E5395"/>
          <w:sz w:val="21"/>
          <w:szCs w:val="21"/>
        </w:rPr>
        <w:t xml:space="preserve">Example: </w:t>
      </w:r>
      <w:r>
        <w:rPr>
          <w:i/>
          <w:iCs/>
          <w:color w:val="333333"/>
          <w:sz w:val="21"/>
          <w:szCs w:val="21"/>
        </w:rPr>
        <w:t>Paracetamol creates the toxic metabolite NAPQI (N-acetyl-p-benzoquinone imine), which can damage the liver.</w:t>
      </w:r>
    </w:p>
    <w:p w14:paraId="520AEDFF" w14:textId="77777777" w:rsidR="009E5E09" w:rsidRDefault="00000000">
      <w:pPr>
        <w:pStyle w:val="Heading2"/>
        <w:spacing w:before="260" w:after="120"/>
      </w:pPr>
      <w:r>
        <w:rPr>
          <w:b/>
          <w:bCs/>
          <w:color w:val="2E5395"/>
          <w:sz w:val="24"/>
          <w:szCs w:val="24"/>
        </w:rPr>
        <w:t>3.3  Genotoxicity</w:t>
      </w:r>
    </w:p>
    <w:p w14:paraId="085929A1" w14:textId="77777777" w:rsidR="009E5E09" w:rsidRDefault="00000000">
      <w:pPr>
        <w:spacing w:after="120" w:line="300" w:lineRule="auto"/>
      </w:pPr>
      <w:r>
        <w:rPr>
          <w:sz w:val="22"/>
          <w:szCs w:val="22"/>
        </w:rPr>
        <w:t>Toxicity caused by anticancer drugs that damage genetic material (genes/DNA).</w:t>
      </w:r>
    </w:p>
    <w:p w14:paraId="5F9EBEBB" w14:textId="77777777" w:rsidR="009E5E09" w:rsidRDefault="00000000">
      <w:pPr>
        <w:pStyle w:val="Heading2"/>
        <w:spacing w:before="260" w:after="120"/>
      </w:pPr>
      <w:r>
        <w:rPr>
          <w:b/>
          <w:bCs/>
          <w:color w:val="2E5395"/>
          <w:sz w:val="24"/>
          <w:szCs w:val="24"/>
        </w:rPr>
        <w:t>3.4  Allergic Reaction</w:t>
      </w:r>
    </w:p>
    <w:p w14:paraId="68080371" w14:textId="77777777" w:rsidR="009E5E09" w:rsidRDefault="00000000">
      <w:pPr>
        <w:spacing w:after="120" w:line="300" w:lineRule="auto"/>
      </w:pPr>
      <w:r>
        <w:rPr>
          <w:sz w:val="22"/>
          <w:szCs w:val="22"/>
        </w:rPr>
        <w:t>Allergic (hypersensitivity) reactions to drugs are classified into four types: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3200"/>
        <w:gridCol w:w="2300"/>
      </w:tblGrid>
      <w:tr w:rsidR="009E5E09" w14:paraId="6A2C9442" w14:textId="77777777">
        <w:trPr>
          <w:tblHeader/>
        </w:trPr>
        <w:tc>
          <w:tcPr>
            <w:tcW w:w="1300" w:type="dxa"/>
            <w:shd w:val="clear" w:color="auto" w:fill="1F3864"/>
            <w:tcMar>
              <w:top w:w="80" w:type="dxa"/>
              <w:left w:w="100" w:type="dxa"/>
              <w:bottom w:w="80" w:type="dxa"/>
              <w:right w:w="100" w:type="dxa"/>
            </w:tcMar>
          </w:tcPr>
          <w:p w14:paraId="1678FB64" w14:textId="77777777" w:rsidR="009E5E09" w:rsidRDefault="00000000">
            <w:pPr>
              <w:spacing w:before="40" w:after="40"/>
            </w:pPr>
            <w:r>
              <w:rPr>
                <w:b/>
                <w:bCs/>
                <w:color w:val="FFFFFF"/>
              </w:rPr>
              <w:t>Type</w:t>
            </w:r>
          </w:p>
        </w:tc>
        <w:tc>
          <w:tcPr>
            <w:tcW w:w="2200" w:type="dxa"/>
            <w:shd w:val="clear" w:color="auto" w:fill="1F3864"/>
            <w:tcMar>
              <w:top w:w="80" w:type="dxa"/>
              <w:left w:w="100" w:type="dxa"/>
              <w:bottom w:w="80" w:type="dxa"/>
              <w:right w:w="100" w:type="dxa"/>
            </w:tcMar>
          </w:tcPr>
          <w:p w14:paraId="3A50F00A" w14:textId="77777777" w:rsidR="009E5E09" w:rsidRDefault="00000000">
            <w:pPr>
              <w:spacing w:before="40" w:after="40"/>
            </w:pPr>
            <w:r>
              <w:rPr>
                <w:b/>
                <w:bCs/>
                <w:color w:val="FFFFFF"/>
              </w:rPr>
              <w:t>Mechanism</w:t>
            </w:r>
          </w:p>
        </w:tc>
        <w:tc>
          <w:tcPr>
            <w:tcW w:w="3200" w:type="dxa"/>
            <w:shd w:val="clear" w:color="auto" w:fill="1F3864"/>
            <w:tcMar>
              <w:top w:w="80" w:type="dxa"/>
              <w:left w:w="100" w:type="dxa"/>
              <w:bottom w:w="80" w:type="dxa"/>
              <w:right w:w="100" w:type="dxa"/>
            </w:tcMar>
          </w:tcPr>
          <w:p w14:paraId="4E1578C3" w14:textId="77777777" w:rsidR="009E5E09" w:rsidRDefault="00000000">
            <w:pPr>
              <w:spacing w:before="40" w:after="40"/>
            </w:pPr>
            <w:r>
              <w:rPr>
                <w:b/>
                <w:bCs/>
                <w:color w:val="FFFFFF"/>
              </w:rPr>
              <w:t>Process</w:t>
            </w:r>
          </w:p>
        </w:tc>
        <w:tc>
          <w:tcPr>
            <w:tcW w:w="2300" w:type="dxa"/>
            <w:shd w:val="clear" w:color="auto" w:fill="1F3864"/>
            <w:tcMar>
              <w:top w:w="80" w:type="dxa"/>
              <w:left w:w="100" w:type="dxa"/>
              <w:bottom w:w="80" w:type="dxa"/>
              <w:right w:w="100" w:type="dxa"/>
            </w:tcMar>
          </w:tcPr>
          <w:p w14:paraId="28C6B578" w14:textId="77777777" w:rsidR="009E5E09" w:rsidRDefault="00000000">
            <w:pPr>
              <w:spacing w:before="40" w:after="40"/>
            </w:pPr>
            <w:r>
              <w:rPr>
                <w:b/>
                <w:bCs/>
                <w:color w:val="FFFFFF"/>
              </w:rPr>
              <w:t>Clinical Example</w:t>
            </w:r>
          </w:p>
        </w:tc>
      </w:tr>
      <w:tr w:rsidR="009E5E09" w14:paraId="21F9297B" w14:textId="77777777">
        <w:tc>
          <w:tcPr>
            <w:tcW w:w="1300" w:type="dxa"/>
            <w:tcMar>
              <w:top w:w="80" w:type="dxa"/>
              <w:left w:w="100" w:type="dxa"/>
              <w:bottom w:w="80" w:type="dxa"/>
              <w:right w:w="100" w:type="dxa"/>
            </w:tcMar>
          </w:tcPr>
          <w:p w14:paraId="4B4095BF" w14:textId="77777777" w:rsidR="009E5E09" w:rsidRDefault="00000000">
            <w:pPr>
              <w:spacing w:before="40" w:after="40"/>
            </w:pPr>
            <w:r>
              <w:t>Type I</w:t>
            </w:r>
          </w:p>
        </w:tc>
        <w:tc>
          <w:tcPr>
            <w:tcW w:w="2200" w:type="dxa"/>
            <w:tcMar>
              <w:top w:w="80" w:type="dxa"/>
              <w:left w:w="100" w:type="dxa"/>
              <w:bottom w:w="80" w:type="dxa"/>
              <w:right w:w="100" w:type="dxa"/>
            </w:tcMar>
          </w:tcPr>
          <w:p w14:paraId="07BD9E33" w14:textId="77777777" w:rsidR="009E5E09" w:rsidRDefault="00000000">
            <w:pPr>
              <w:spacing w:before="40" w:after="40"/>
            </w:pPr>
            <w:proofErr w:type="spellStart"/>
            <w:r>
              <w:t>IgE</w:t>
            </w:r>
            <w:proofErr w:type="spellEnd"/>
            <w:r>
              <w:t>-mediated</w:t>
            </w:r>
          </w:p>
        </w:tc>
        <w:tc>
          <w:tcPr>
            <w:tcW w:w="3200" w:type="dxa"/>
            <w:tcMar>
              <w:top w:w="80" w:type="dxa"/>
              <w:left w:w="100" w:type="dxa"/>
              <w:bottom w:w="80" w:type="dxa"/>
              <w:right w:w="100" w:type="dxa"/>
            </w:tcMar>
          </w:tcPr>
          <w:p w14:paraId="106ACDE4" w14:textId="77777777" w:rsidR="009E5E09" w:rsidRDefault="00000000">
            <w:pPr>
              <w:spacing w:before="40" w:after="40"/>
            </w:pPr>
            <w:r>
              <w:t>Basophil/mast cell degranulation → histamine release</w:t>
            </w:r>
          </w:p>
        </w:tc>
        <w:tc>
          <w:tcPr>
            <w:tcW w:w="2300" w:type="dxa"/>
            <w:tcMar>
              <w:top w:w="80" w:type="dxa"/>
              <w:left w:w="100" w:type="dxa"/>
              <w:bottom w:w="80" w:type="dxa"/>
              <w:right w:w="100" w:type="dxa"/>
            </w:tcMar>
          </w:tcPr>
          <w:p w14:paraId="6C69629E" w14:textId="77777777" w:rsidR="009E5E09" w:rsidRDefault="00000000">
            <w:pPr>
              <w:spacing w:before="40" w:after="40"/>
            </w:pPr>
            <w:r>
              <w:t>Anaphylaxis</w:t>
            </w:r>
          </w:p>
        </w:tc>
      </w:tr>
      <w:tr w:rsidR="009E5E09" w14:paraId="7C701D8D" w14:textId="77777777">
        <w:tc>
          <w:tcPr>
            <w:tcW w:w="1300" w:type="dxa"/>
            <w:shd w:val="clear" w:color="auto" w:fill="EAF0F8"/>
            <w:tcMar>
              <w:top w:w="80" w:type="dxa"/>
              <w:left w:w="100" w:type="dxa"/>
              <w:bottom w:w="80" w:type="dxa"/>
              <w:right w:w="100" w:type="dxa"/>
            </w:tcMar>
          </w:tcPr>
          <w:p w14:paraId="6EB924AE" w14:textId="77777777" w:rsidR="009E5E09" w:rsidRDefault="00000000">
            <w:pPr>
              <w:spacing w:before="40" w:after="40"/>
            </w:pPr>
            <w:r>
              <w:t>Type II</w:t>
            </w:r>
          </w:p>
        </w:tc>
        <w:tc>
          <w:tcPr>
            <w:tcW w:w="2200" w:type="dxa"/>
            <w:shd w:val="clear" w:color="auto" w:fill="EAF0F8"/>
            <w:tcMar>
              <w:top w:w="80" w:type="dxa"/>
              <w:left w:w="100" w:type="dxa"/>
              <w:bottom w:w="80" w:type="dxa"/>
              <w:right w:w="100" w:type="dxa"/>
            </w:tcMar>
          </w:tcPr>
          <w:p w14:paraId="4FC10E9D" w14:textId="77777777" w:rsidR="009E5E09" w:rsidRDefault="00000000">
            <w:pPr>
              <w:spacing w:before="40" w:after="40"/>
            </w:pPr>
            <w:r>
              <w:t>IgG / IgM mediated</w:t>
            </w:r>
          </w:p>
        </w:tc>
        <w:tc>
          <w:tcPr>
            <w:tcW w:w="3200" w:type="dxa"/>
            <w:shd w:val="clear" w:color="auto" w:fill="EAF0F8"/>
            <w:tcMar>
              <w:top w:w="80" w:type="dxa"/>
              <w:left w:w="100" w:type="dxa"/>
              <w:bottom w:w="80" w:type="dxa"/>
              <w:right w:w="100" w:type="dxa"/>
            </w:tcMar>
          </w:tcPr>
          <w:p w14:paraId="3C5A69FD" w14:textId="77777777" w:rsidR="009E5E09" w:rsidRDefault="00000000">
            <w:pPr>
              <w:spacing w:before="40" w:after="40"/>
            </w:pPr>
            <w:r>
              <w:t>Drug–coated cells → complement-mediated lysis</w:t>
            </w:r>
          </w:p>
        </w:tc>
        <w:tc>
          <w:tcPr>
            <w:tcW w:w="2300" w:type="dxa"/>
            <w:shd w:val="clear" w:color="auto" w:fill="EAF0F8"/>
            <w:tcMar>
              <w:top w:w="80" w:type="dxa"/>
              <w:left w:w="100" w:type="dxa"/>
              <w:bottom w:w="80" w:type="dxa"/>
              <w:right w:w="100" w:type="dxa"/>
            </w:tcMar>
          </w:tcPr>
          <w:p w14:paraId="73A0D74A" w14:textId="77777777" w:rsidR="009E5E09" w:rsidRDefault="00000000">
            <w:pPr>
              <w:spacing w:before="40" w:after="40"/>
            </w:pPr>
            <w:proofErr w:type="spellStart"/>
            <w:r>
              <w:t>Hemolytic</w:t>
            </w:r>
            <w:proofErr w:type="spellEnd"/>
            <w:r>
              <w:t xml:space="preserve"> </w:t>
            </w:r>
            <w:proofErr w:type="spellStart"/>
            <w:r>
              <w:t>anemia</w:t>
            </w:r>
            <w:proofErr w:type="spellEnd"/>
          </w:p>
        </w:tc>
      </w:tr>
      <w:tr w:rsidR="009E5E09" w14:paraId="11B67079" w14:textId="77777777">
        <w:tc>
          <w:tcPr>
            <w:tcW w:w="1300" w:type="dxa"/>
            <w:tcMar>
              <w:top w:w="80" w:type="dxa"/>
              <w:left w:w="100" w:type="dxa"/>
              <w:bottom w:w="80" w:type="dxa"/>
              <w:right w:w="100" w:type="dxa"/>
            </w:tcMar>
          </w:tcPr>
          <w:p w14:paraId="742AAB2C" w14:textId="77777777" w:rsidR="009E5E09" w:rsidRDefault="00000000">
            <w:pPr>
              <w:spacing w:before="40" w:after="40"/>
            </w:pPr>
            <w:r>
              <w:t>Type III</w:t>
            </w:r>
          </w:p>
        </w:tc>
        <w:tc>
          <w:tcPr>
            <w:tcW w:w="2200" w:type="dxa"/>
            <w:tcMar>
              <w:top w:w="80" w:type="dxa"/>
              <w:left w:w="100" w:type="dxa"/>
              <w:bottom w:w="80" w:type="dxa"/>
              <w:right w:w="100" w:type="dxa"/>
            </w:tcMar>
          </w:tcPr>
          <w:p w14:paraId="23F5A80E" w14:textId="77777777" w:rsidR="009E5E09" w:rsidRDefault="00000000">
            <w:pPr>
              <w:spacing w:before="40" w:after="40"/>
            </w:pPr>
            <w:r>
              <w:t>Immune complex mediated</w:t>
            </w:r>
          </w:p>
        </w:tc>
        <w:tc>
          <w:tcPr>
            <w:tcW w:w="3200" w:type="dxa"/>
            <w:tcMar>
              <w:top w:w="80" w:type="dxa"/>
              <w:left w:w="100" w:type="dxa"/>
              <w:bottom w:w="80" w:type="dxa"/>
              <w:right w:w="100" w:type="dxa"/>
            </w:tcMar>
          </w:tcPr>
          <w:p w14:paraId="223CD84F" w14:textId="77777777" w:rsidR="009E5E09" w:rsidRDefault="00000000">
            <w:pPr>
              <w:spacing w:before="40" w:after="40"/>
            </w:pPr>
            <w:r>
              <w:t>Antigen–antibody complexes deposit in tissues → inflammation</w:t>
            </w:r>
          </w:p>
        </w:tc>
        <w:tc>
          <w:tcPr>
            <w:tcW w:w="2300" w:type="dxa"/>
            <w:tcMar>
              <w:top w:w="80" w:type="dxa"/>
              <w:left w:w="100" w:type="dxa"/>
              <w:bottom w:w="80" w:type="dxa"/>
              <w:right w:w="100" w:type="dxa"/>
            </w:tcMar>
          </w:tcPr>
          <w:p w14:paraId="13432385" w14:textId="77777777" w:rsidR="009E5E09" w:rsidRDefault="00000000">
            <w:pPr>
              <w:spacing w:before="40" w:after="40"/>
            </w:pPr>
            <w:r>
              <w:t>Serum sickness</w:t>
            </w:r>
          </w:p>
        </w:tc>
      </w:tr>
      <w:tr w:rsidR="009E5E09" w14:paraId="6F95D35F" w14:textId="77777777">
        <w:tc>
          <w:tcPr>
            <w:tcW w:w="1300" w:type="dxa"/>
            <w:shd w:val="clear" w:color="auto" w:fill="EAF0F8"/>
            <w:tcMar>
              <w:top w:w="80" w:type="dxa"/>
              <w:left w:w="100" w:type="dxa"/>
              <w:bottom w:w="80" w:type="dxa"/>
              <w:right w:w="100" w:type="dxa"/>
            </w:tcMar>
          </w:tcPr>
          <w:p w14:paraId="1F058C8E" w14:textId="77777777" w:rsidR="009E5E09" w:rsidRDefault="00000000">
            <w:pPr>
              <w:spacing w:before="40" w:after="40"/>
            </w:pPr>
            <w:r>
              <w:t>Type IV</w:t>
            </w:r>
          </w:p>
        </w:tc>
        <w:tc>
          <w:tcPr>
            <w:tcW w:w="2200" w:type="dxa"/>
            <w:shd w:val="clear" w:color="auto" w:fill="EAF0F8"/>
            <w:tcMar>
              <w:top w:w="80" w:type="dxa"/>
              <w:left w:w="100" w:type="dxa"/>
              <w:bottom w:w="80" w:type="dxa"/>
              <w:right w:w="100" w:type="dxa"/>
            </w:tcMar>
          </w:tcPr>
          <w:p w14:paraId="32EDD8B6" w14:textId="77777777" w:rsidR="009E5E09" w:rsidRDefault="00000000">
            <w:pPr>
              <w:spacing w:before="40" w:after="40"/>
            </w:pPr>
            <w:r>
              <w:t>Cell mediated (B- and T-cell)</w:t>
            </w:r>
          </w:p>
        </w:tc>
        <w:tc>
          <w:tcPr>
            <w:tcW w:w="3200" w:type="dxa"/>
            <w:shd w:val="clear" w:color="auto" w:fill="EAF0F8"/>
            <w:tcMar>
              <w:top w:w="80" w:type="dxa"/>
              <w:left w:w="100" w:type="dxa"/>
              <w:bottom w:w="80" w:type="dxa"/>
              <w:right w:w="100" w:type="dxa"/>
            </w:tcMar>
          </w:tcPr>
          <w:p w14:paraId="699F8FA3" w14:textId="77777777" w:rsidR="009E5E09" w:rsidRDefault="00000000">
            <w:pPr>
              <w:spacing w:before="40" w:after="40"/>
            </w:pPr>
            <w:r>
              <w:t>No antibody involvement; delayed hypersensitivity</w:t>
            </w:r>
          </w:p>
        </w:tc>
        <w:tc>
          <w:tcPr>
            <w:tcW w:w="2300" w:type="dxa"/>
            <w:shd w:val="clear" w:color="auto" w:fill="EAF0F8"/>
            <w:tcMar>
              <w:top w:w="80" w:type="dxa"/>
              <w:left w:w="100" w:type="dxa"/>
              <w:bottom w:w="80" w:type="dxa"/>
              <w:right w:w="100" w:type="dxa"/>
            </w:tcMar>
          </w:tcPr>
          <w:p w14:paraId="29565208" w14:textId="77777777" w:rsidR="009E5E09" w:rsidRDefault="00000000">
            <w:pPr>
              <w:spacing w:before="40" w:after="40"/>
            </w:pPr>
            <w:r>
              <w:t>Contact dermatitis</w:t>
            </w:r>
          </w:p>
        </w:tc>
      </w:tr>
    </w:tbl>
    <w:p w14:paraId="61DAD4E0" w14:textId="77777777" w:rsidR="009E5E09" w:rsidRDefault="00000000">
      <w:pPr>
        <w:pStyle w:val="Heading2"/>
        <w:spacing w:before="260" w:after="120"/>
      </w:pPr>
      <w:r>
        <w:rPr>
          <w:b/>
          <w:bCs/>
          <w:color w:val="2E5395"/>
          <w:sz w:val="24"/>
          <w:szCs w:val="24"/>
        </w:rPr>
        <w:t>3.5  Idiosyncratic Response</w:t>
      </w:r>
    </w:p>
    <w:p w14:paraId="23258ED6" w14:textId="77777777" w:rsidR="009E5E09" w:rsidRDefault="00000000">
      <w:pPr>
        <w:spacing w:after="120" w:line="300" w:lineRule="auto"/>
      </w:pPr>
      <w:r>
        <w:rPr>
          <w:sz w:val="22"/>
          <w:szCs w:val="22"/>
        </w:rPr>
        <w:t>An abnormal reaction characterized by increased sensitivity to the drug, or reduced sensitivity to the drug, that is genetically determined and unrelated to the drug's normal pharmacology.</w:t>
      </w:r>
    </w:p>
    <w:p w14:paraId="72E56C13" w14:textId="77777777" w:rsidR="009E5E09" w:rsidRDefault="00000000">
      <w:pPr>
        <w:pStyle w:val="Heading2"/>
        <w:spacing w:before="260" w:after="120"/>
      </w:pPr>
      <w:r>
        <w:rPr>
          <w:b/>
          <w:bCs/>
          <w:color w:val="2E5395"/>
          <w:sz w:val="24"/>
          <w:szCs w:val="24"/>
        </w:rPr>
        <w:t>3.6  Pharmacogenetic Variation</w:t>
      </w:r>
    </w:p>
    <w:p w14:paraId="667007EA" w14:textId="77777777" w:rsidR="009E5E09" w:rsidRDefault="00000000">
      <w:pPr>
        <w:spacing w:after="120" w:line="300" w:lineRule="auto"/>
      </w:pPr>
      <w:r>
        <w:rPr>
          <w:sz w:val="22"/>
          <w:szCs w:val="22"/>
        </w:rPr>
        <w:t>Adverse drug reactions caused due to differences in an individual's genetic makeup, which alter drug metabolism or response.</w:t>
      </w:r>
    </w:p>
    <w:p w14:paraId="72EC9550" w14:textId="77777777" w:rsidR="009E5E09" w:rsidRDefault="00000000">
      <w:pPr>
        <w:pStyle w:val="Heading2"/>
        <w:spacing w:before="260" w:after="120"/>
      </w:pPr>
      <w:r>
        <w:rPr>
          <w:b/>
          <w:bCs/>
          <w:color w:val="2E5395"/>
          <w:sz w:val="24"/>
          <w:szCs w:val="24"/>
        </w:rPr>
        <w:t>3.7  Teratogenicity</w:t>
      </w:r>
    </w:p>
    <w:p w14:paraId="7929212F" w14:textId="77777777" w:rsidR="009E5E09" w:rsidRDefault="00000000">
      <w:pPr>
        <w:spacing w:after="120" w:line="300" w:lineRule="auto"/>
      </w:pPr>
      <w:r>
        <w:rPr>
          <w:sz w:val="22"/>
          <w:szCs w:val="22"/>
        </w:rPr>
        <w:t xml:space="preserve">Teratogenic drugs can cross the placental barrier, which can result in miscarriage or </w:t>
      </w:r>
      <w:proofErr w:type="spellStart"/>
      <w:r>
        <w:rPr>
          <w:sz w:val="22"/>
          <w:szCs w:val="22"/>
        </w:rPr>
        <w:t>fetal</w:t>
      </w:r>
      <w:proofErr w:type="spellEnd"/>
      <w:r>
        <w:rPr>
          <w:sz w:val="22"/>
          <w:szCs w:val="22"/>
        </w:rPr>
        <w:t xml:space="preserve"> abnormality. Key points regarding the critical period of exposure:</w:t>
      </w:r>
    </w:p>
    <w:p w14:paraId="39EB037B" w14:textId="77777777" w:rsidR="009E5E09" w:rsidRDefault="00000000">
      <w:pPr>
        <w:pStyle w:val="ListParagraph"/>
        <w:numPr>
          <w:ilvl w:val="0"/>
          <w:numId w:val="2"/>
        </w:numPr>
        <w:spacing w:after="80" w:line="280" w:lineRule="auto"/>
      </w:pPr>
      <w:r>
        <w:rPr>
          <w:b/>
          <w:bCs/>
          <w:sz w:val="22"/>
          <w:szCs w:val="22"/>
        </w:rPr>
        <w:t xml:space="preserve">First 17 days of pregnancy: </w:t>
      </w:r>
      <w:r>
        <w:rPr>
          <w:sz w:val="22"/>
          <w:szCs w:val="22"/>
        </w:rPr>
        <w:t>teratogenicity can cause miscarriage.</w:t>
      </w:r>
    </w:p>
    <w:p w14:paraId="07F165D2" w14:textId="77777777" w:rsidR="009E5E09" w:rsidRDefault="00000000">
      <w:pPr>
        <w:pStyle w:val="ListParagraph"/>
        <w:numPr>
          <w:ilvl w:val="0"/>
          <w:numId w:val="2"/>
        </w:numPr>
        <w:spacing w:after="80" w:line="280" w:lineRule="auto"/>
      </w:pPr>
      <w:r>
        <w:rPr>
          <w:b/>
          <w:bCs/>
          <w:sz w:val="22"/>
          <w:szCs w:val="22"/>
        </w:rPr>
        <w:t xml:space="preserve">18–55 days: </w:t>
      </w:r>
      <w:r>
        <w:rPr>
          <w:sz w:val="22"/>
          <w:szCs w:val="22"/>
        </w:rPr>
        <w:t>this is the most vulnerable period, and exposure can cause congenital anomalies.</w:t>
      </w:r>
    </w:p>
    <w:p w14:paraId="52DBDE7D" w14:textId="77777777" w:rsidR="009E5E09" w:rsidRDefault="00000000">
      <w:pPr>
        <w:pStyle w:val="ListParagraph"/>
        <w:numPr>
          <w:ilvl w:val="0"/>
          <w:numId w:val="2"/>
        </w:numPr>
        <w:spacing w:after="80" w:line="280" w:lineRule="auto"/>
      </w:pPr>
      <w:r>
        <w:rPr>
          <w:b/>
          <w:bCs/>
          <w:sz w:val="22"/>
          <w:szCs w:val="22"/>
        </w:rPr>
        <w:t xml:space="preserve">After 56 days: </w:t>
      </w:r>
      <w:r>
        <w:rPr>
          <w:sz w:val="22"/>
          <w:szCs w:val="22"/>
        </w:rPr>
        <w:t>exposure may lead to developmental abnormalities or functional disorders.</w:t>
      </w:r>
    </w:p>
    <w:p w14:paraId="57F339E6" w14:textId="77777777" w:rsidR="009E5E09" w:rsidRDefault="009E5E09">
      <w:pPr>
        <w:spacing w:after="80"/>
      </w:pPr>
    </w:p>
    <w:p w14:paraId="29011A40" w14:textId="77777777" w:rsidR="009E5E09" w:rsidRDefault="00000000">
      <w:pPr>
        <w:spacing w:after="120" w:line="300" w:lineRule="auto"/>
      </w:pPr>
      <w:r>
        <w:rPr>
          <w:sz w:val="22"/>
          <w:szCs w:val="22"/>
        </w:rPr>
        <w:t>Teratogenic drugs are categorized into the following pregnancy risk categories: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00"/>
      </w:tblGrid>
      <w:tr w:rsidR="009E5E09" w14:paraId="5B6F494E" w14:textId="77777777">
        <w:trPr>
          <w:tblHeader/>
        </w:trPr>
        <w:tc>
          <w:tcPr>
            <w:tcW w:w="1400" w:type="dxa"/>
            <w:shd w:val="clear" w:color="auto" w:fill="1F3864"/>
            <w:tcMar>
              <w:top w:w="80" w:type="dxa"/>
              <w:left w:w="100" w:type="dxa"/>
              <w:bottom w:w="80" w:type="dxa"/>
              <w:right w:w="100" w:type="dxa"/>
            </w:tcMar>
          </w:tcPr>
          <w:p w14:paraId="2A58E018" w14:textId="77777777" w:rsidR="009E5E09" w:rsidRDefault="00000000">
            <w:pPr>
              <w:spacing w:before="40" w:after="40"/>
            </w:pPr>
            <w:r>
              <w:rPr>
                <w:b/>
                <w:bCs/>
                <w:color w:val="FFFFFF"/>
              </w:rPr>
              <w:t>Category</w:t>
            </w:r>
          </w:p>
        </w:tc>
        <w:tc>
          <w:tcPr>
            <w:tcW w:w="7500" w:type="dxa"/>
            <w:shd w:val="clear" w:color="auto" w:fill="1F3864"/>
            <w:tcMar>
              <w:top w:w="80" w:type="dxa"/>
              <w:left w:w="100" w:type="dxa"/>
              <w:bottom w:w="80" w:type="dxa"/>
              <w:right w:w="100" w:type="dxa"/>
            </w:tcMar>
          </w:tcPr>
          <w:p w14:paraId="2E99C034" w14:textId="77777777" w:rsidR="009E5E09" w:rsidRDefault="00000000">
            <w:pPr>
              <w:spacing w:before="40" w:after="40"/>
            </w:pPr>
            <w:r>
              <w:rPr>
                <w:b/>
                <w:bCs/>
                <w:color w:val="FFFFFF"/>
              </w:rPr>
              <w:t>Description</w:t>
            </w:r>
          </w:p>
        </w:tc>
      </w:tr>
      <w:tr w:rsidR="009E5E09" w14:paraId="3912A10A" w14:textId="77777777">
        <w:tc>
          <w:tcPr>
            <w:tcW w:w="1400" w:type="dxa"/>
            <w:tcMar>
              <w:top w:w="80" w:type="dxa"/>
              <w:left w:w="100" w:type="dxa"/>
              <w:bottom w:w="80" w:type="dxa"/>
              <w:right w:w="100" w:type="dxa"/>
            </w:tcMar>
          </w:tcPr>
          <w:p w14:paraId="575C1AF0" w14:textId="77777777" w:rsidR="009E5E09" w:rsidRDefault="00000000">
            <w:pPr>
              <w:spacing w:before="40" w:after="40"/>
            </w:pPr>
            <w:r>
              <w:t>Type A</w:t>
            </w:r>
          </w:p>
        </w:tc>
        <w:tc>
          <w:tcPr>
            <w:tcW w:w="7500" w:type="dxa"/>
            <w:tcMar>
              <w:top w:w="80" w:type="dxa"/>
              <w:left w:w="100" w:type="dxa"/>
              <w:bottom w:w="80" w:type="dxa"/>
              <w:right w:w="100" w:type="dxa"/>
            </w:tcMar>
          </w:tcPr>
          <w:p w14:paraId="03824EB8" w14:textId="77777777" w:rsidR="009E5E09" w:rsidRDefault="00000000">
            <w:pPr>
              <w:spacing w:before="40" w:after="40"/>
            </w:pPr>
            <w:r>
              <w:t>Safest to use in pregnancy</w:t>
            </w:r>
          </w:p>
        </w:tc>
      </w:tr>
      <w:tr w:rsidR="009E5E09" w14:paraId="7D0815F9" w14:textId="77777777">
        <w:tc>
          <w:tcPr>
            <w:tcW w:w="1400" w:type="dxa"/>
            <w:shd w:val="clear" w:color="auto" w:fill="EAF0F8"/>
            <w:tcMar>
              <w:top w:w="80" w:type="dxa"/>
              <w:left w:w="100" w:type="dxa"/>
              <w:bottom w:w="80" w:type="dxa"/>
              <w:right w:w="100" w:type="dxa"/>
            </w:tcMar>
          </w:tcPr>
          <w:p w14:paraId="1AB8DF51" w14:textId="77777777" w:rsidR="009E5E09" w:rsidRDefault="00000000">
            <w:pPr>
              <w:spacing w:before="40" w:after="40"/>
            </w:pPr>
            <w:r>
              <w:t>Type B</w:t>
            </w:r>
          </w:p>
        </w:tc>
        <w:tc>
          <w:tcPr>
            <w:tcW w:w="7500" w:type="dxa"/>
            <w:shd w:val="clear" w:color="auto" w:fill="EAF0F8"/>
            <w:tcMar>
              <w:top w:w="80" w:type="dxa"/>
              <w:left w:w="100" w:type="dxa"/>
              <w:bottom w:w="80" w:type="dxa"/>
              <w:right w:w="100" w:type="dxa"/>
            </w:tcMar>
          </w:tcPr>
          <w:p w14:paraId="415BE25E" w14:textId="77777777" w:rsidR="009E5E09" w:rsidRDefault="00000000">
            <w:pPr>
              <w:spacing w:before="40" w:after="40"/>
            </w:pPr>
            <w:r>
              <w:t>Comparatively safer</w:t>
            </w:r>
          </w:p>
        </w:tc>
      </w:tr>
      <w:tr w:rsidR="009E5E09" w14:paraId="3661F5BA" w14:textId="77777777">
        <w:tc>
          <w:tcPr>
            <w:tcW w:w="1400" w:type="dxa"/>
            <w:tcMar>
              <w:top w:w="80" w:type="dxa"/>
              <w:left w:w="100" w:type="dxa"/>
              <w:bottom w:w="80" w:type="dxa"/>
              <w:right w:w="100" w:type="dxa"/>
            </w:tcMar>
          </w:tcPr>
          <w:p w14:paraId="3A3FEBE4" w14:textId="77777777" w:rsidR="009E5E09" w:rsidRDefault="00000000">
            <w:pPr>
              <w:spacing w:before="40" w:after="40"/>
            </w:pPr>
            <w:r>
              <w:lastRenderedPageBreak/>
              <w:t>Type C</w:t>
            </w:r>
          </w:p>
        </w:tc>
        <w:tc>
          <w:tcPr>
            <w:tcW w:w="7500" w:type="dxa"/>
            <w:tcMar>
              <w:top w:w="80" w:type="dxa"/>
              <w:left w:w="100" w:type="dxa"/>
              <w:bottom w:w="80" w:type="dxa"/>
              <w:right w:w="100" w:type="dxa"/>
            </w:tcMar>
          </w:tcPr>
          <w:p w14:paraId="41495C2D" w14:textId="77777777" w:rsidR="009E5E09" w:rsidRDefault="00000000">
            <w:pPr>
              <w:spacing w:before="40" w:after="40"/>
            </w:pPr>
            <w:r>
              <w:t>Animal studies show risk; lack of human data</w:t>
            </w:r>
          </w:p>
        </w:tc>
      </w:tr>
      <w:tr w:rsidR="009E5E09" w14:paraId="30645968" w14:textId="77777777">
        <w:tc>
          <w:tcPr>
            <w:tcW w:w="1400" w:type="dxa"/>
            <w:shd w:val="clear" w:color="auto" w:fill="EAF0F8"/>
            <w:tcMar>
              <w:top w:w="80" w:type="dxa"/>
              <w:left w:w="100" w:type="dxa"/>
              <w:bottom w:w="80" w:type="dxa"/>
              <w:right w:w="100" w:type="dxa"/>
            </w:tcMar>
          </w:tcPr>
          <w:p w14:paraId="671CB011" w14:textId="77777777" w:rsidR="009E5E09" w:rsidRDefault="00000000">
            <w:pPr>
              <w:spacing w:before="40" w:after="40"/>
            </w:pPr>
            <w:r>
              <w:t>Type D</w:t>
            </w:r>
          </w:p>
        </w:tc>
        <w:tc>
          <w:tcPr>
            <w:tcW w:w="7500" w:type="dxa"/>
            <w:shd w:val="clear" w:color="auto" w:fill="EAF0F8"/>
            <w:tcMar>
              <w:top w:w="80" w:type="dxa"/>
              <w:left w:w="100" w:type="dxa"/>
              <w:bottom w:w="80" w:type="dxa"/>
              <w:right w:w="100" w:type="dxa"/>
            </w:tcMar>
          </w:tcPr>
          <w:p w14:paraId="529B71AA" w14:textId="77777777" w:rsidR="009E5E09" w:rsidRDefault="00000000">
            <w:pPr>
              <w:spacing w:before="40" w:after="40"/>
            </w:pPr>
            <w:r>
              <w:t>Evidence of risk, but benefit may outweigh the risk</w:t>
            </w:r>
          </w:p>
        </w:tc>
      </w:tr>
      <w:tr w:rsidR="009E5E09" w14:paraId="41179320" w14:textId="77777777">
        <w:tc>
          <w:tcPr>
            <w:tcW w:w="1400" w:type="dxa"/>
            <w:tcMar>
              <w:top w:w="80" w:type="dxa"/>
              <w:left w:w="100" w:type="dxa"/>
              <w:bottom w:w="80" w:type="dxa"/>
              <w:right w:w="100" w:type="dxa"/>
            </w:tcMar>
          </w:tcPr>
          <w:p w14:paraId="14C6ABAC" w14:textId="77777777" w:rsidR="009E5E09" w:rsidRDefault="00000000">
            <w:pPr>
              <w:spacing w:before="40" w:after="40"/>
            </w:pPr>
            <w:r>
              <w:t>Type X</w:t>
            </w:r>
          </w:p>
        </w:tc>
        <w:tc>
          <w:tcPr>
            <w:tcW w:w="7500" w:type="dxa"/>
            <w:tcMar>
              <w:top w:w="80" w:type="dxa"/>
              <w:left w:w="100" w:type="dxa"/>
              <w:bottom w:w="80" w:type="dxa"/>
              <w:right w:w="100" w:type="dxa"/>
            </w:tcMar>
          </w:tcPr>
          <w:p w14:paraId="24B4A480" w14:textId="77777777" w:rsidR="009E5E09" w:rsidRDefault="00000000">
            <w:pPr>
              <w:spacing w:before="40" w:after="40"/>
            </w:pPr>
            <w:r>
              <w:t>Most dangerous to use — contraindicated in pregnancy</w:t>
            </w:r>
          </w:p>
        </w:tc>
      </w:tr>
    </w:tbl>
    <w:p w14:paraId="4073F72F" w14:textId="77777777" w:rsidR="009E5E09" w:rsidRDefault="00000000">
      <w:pPr>
        <w:pStyle w:val="Heading1"/>
        <w:pBdr>
          <w:bottom w:val="single" w:sz="6" w:space="4" w:color="1F3864"/>
        </w:pBdr>
        <w:spacing w:before="320" w:after="160"/>
      </w:pPr>
      <w:r>
        <w:rPr>
          <w:b/>
          <w:bCs/>
          <w:color w:val="1F3864"/>
          <w:sz w:val="30"/>
          <w:szCs w:val="30"/>
        </w:rPr>
        <w:t>4. Classification of ADR by Onset and Severity</w:t>
      </w:r>
    </w:p>
    <w:p w14:paraId="3BDEA7A2" w14:textId="77777777" w:rsidR="009E5E09" w:rsidRDefault="00000000">
      <w:pPr>
        <w:pStyle w:val="Heading2"/>
        <w:spacing w:before="260" w:after="120"/>
      </w:pPr>
      <w:r>
        <w:rPr>
          <w:b/>
          <w:bCs/>
          <w:color w:val="2E5395"/>
          <w:sz w:val="24"/>
          <w:szCs w:val="24"/>
        </w:rPr>
        <w:t>4.1  Based on Onset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0"/>
      </w:tblGrid>
      <w:tr w:rsidR="009E5E09" w14:paraId="0807700F" w14:textId="77777777">
        <w:trPr>
          <w:tblHeader/>
        </w:trPr>
        <w:tc>
          <w:tcPr>
            <w:tcW w:w="2500" w:type="dxa"/>
            <w:shd w:val="clear" w:color="auto" w:fill="1F3864"/>
            <w:tcMar>
              <w:top w:w="80" w:type="dxa"/>
              <w:left w:w="100" w:type="dxa"/>
              <w:bottom w:w="80" w:type="dxa"/>
              <w:right w:w="100" w:type="dxa"/>
            </w:tcMar>
          </w:tcPr>
          <w:p w14:paraId="67D1B85B" w14:textId="77777777" w:rsidR="009E5E09" w:rsidRDefault="00000000">
            <w:pPr>
              <w:spacing w:before="40" w:after="40"/>
            </w:pPr>
            <w:r>
              <w:rPr>
                <w:b/>
                <w:bCs/>
                <w:color w:val="FFFFFF"/>
              </w:rPr>
              <w:t>Category</w:t>
            </w:r>
          </w:p>
        </w:tc>
        <w:tc>
          <w:tcPr>
            <w:tcW w:w="6400" w:type="dxa"/>
            <w:shd w:val="clear" w:color="auto" w:fill="1F3864"/>
            <w:tcMar>
              <w:top w:w="80" w:type="dxa"/>
              <w:left w:w="100" w:type="dxa"/>
              <w:bottom w:w="80" w:type="dxa"/>
              <w:right w:w="100" w:type="dxa"/>
            </w:tcMar>
          </w:tcPr>
          <w:p w14:paraId="739A7856" w14:textId="77777777" w:rsidR="009E5E09" w:rsidRDefault="00000000">
            <w:pPr>
              <w:spacing w:before="40" w:after="40"/>
            </w:pPr>
            <w:r>
              <w:rPr>
                <w:b/>
                <w:bCs/>
                <w:color w:val="FFFFFF"/>
              </w:rPr>
              <w:t>Time Frame</w:t>
            </w:r>
          </w:p>
        </w:tc>
      </w:tr>
      <w:tr w:rsidR="009E5E09" w14:paraId="66B07FE5" w14:textId="77777777">
        <w:tc>
          <w:tcPr>
            <w:tcW w:w="2500" w:type="dxa"/>
            <w:tcMar>
              <w:top w:w="80" w:type="dxa"/>
              <w:left w:w="100" w:type="dxa"/>
              <w:bottom w:w="80" w:type="dxa"/>
              <w:right w:w="100" w:type="dxa"/>
            </w:tcMar>
          </w:tcPr>
          <w:p w14:paraId="2062A9D2" w14:textId="77777777" w:rsidR="009E5E09" w:rsidRDefault="00000000">
            <w:pPr>
              <w:spacing w:before="40" w:after="40"/>
            </w:pPr>
            <w:r>
              <w:t>Acute</w:t>
            </w:r>
          </w:p>
        </w:tc>
        <w:tc>
          <w:tcPr>
            <w:tcW w:w="6400" w:type="dxa"/>
            <w:tcMar>
              <w:top w:w="80" w:type="dxa"/>
              <w:left w:w="100" w:type="dxa"/>
              <w:bottom w:w="80" w:type="dxa"/>
              <w:right w:w="100" w:type="dxa"/>
            </w:tcMar>
          </w:tcPr>
          <w:p w14:paraId="0419A3E0" w14:textId="77777777" w:rsidR="009E5E09" w:rsidRDefault="00000000">
            <w:pPr>
              <w:spacing w:before="40" w:after="40"/>
            </w:pPr>
            <w:r>
              <w:t>Occurs under 60 minutes of drug administration</w:t>
            </w:r>
          </w:p>
        </w:tc>
      </w:tr>
      <w:tr w:rsidR="009E5E09" w14:paraId="3728E1CF" w14:textId="77777777">
        <w:tc>
          <w:tcPr>
            <w:tcW w:w="2500" w:type="dxa"/>
            <w:shd w:val="clear" w:color="auto" w:fill="EAF0F8"/>
            <w:tcMar>
              <w:top w:w="80" w:type="dxa"/>
              <w:left w:w="100" w:type="dxa"/>
              <w:bottom w:w="80" w:type="dxa"/>
              <w:right w:w="100" w:type="dxa"/>
            </w:tcMar>
          </w:tcPr>
          <w:p w14:paraId="1C2764E3" w14:textId="77777777" w:rsidR="009E5E09" w:rsidRDefault="00000000">
            <w:pPr>
              <w:spacing w:before="40" w:after="40"/>
            </w:pPr>
            <w:r>
              <w:t>Sub-acute</w:t>
            </w:r>
          </w:p>
        </w:tc>
        <w:tc>
          <w:tcPr>
            <w:tcW w:w="6400" w:type="dxa"/>
            <w:shd w:val="clear" w:color="auto" w:fill="EAF0F8"/>
            <w:tcMar>
              <w:top w:w="80" w:type="dxa"/>
              <w:left w:w="100" w:type="dxa"/>
              <w:bottom w:w="80" w:type="dxa"/>
              <w:right w:w="100" w:type="dxa"/>
            </w:tcMar>
          </w:tcPr>
          <w:p w14:paraId="2E561323" w14:textId="77777777" w:rsidR="009E5E09" w:rsidRDefault="00000000">
            <w:pPr>
              <w:spacing w:before="40" w:after="40"/>
            </w:pPr>
            <w:r>
              <w:t>Occurs between 60 minutes and 24 hours</w:t>
            </w:r>
          </w:p>
        </w:tc>
      </w:tr>
      <w:tr w:rsidR="009E5E09" w14:paraId="1E52C8E1" w14:textId="77777777">
        <w:tc>
          <w:tcPr>
            <w:tcW w:w="2500" w:type="dxa"/>
            <w:tcMar>
              <w:top w:w="80" w:type="dxa"/>
              <w:left w:w="100" w:type="dxa"/>
              <w:bottom w:w="80" w:type="dxa"/>
              <w:right w:w="100" w:type="dxa"/>
            </w:tcMar>
          </w:tcPr>
          <w:p w14:paraId="366B8F9A" w14:textId="77777777" w:rsidR="009E5E09" w:rsidRDefault="00000000">
            <w:pPr>
              <w:spacing w:before="40" w:after="40"/>
            </w:pPr>
            <w:r>
              <w:t>Latent</w:t>
            </w:r>
          </w:p>
        </w:tc>
        <w:tc>
          <w:tcPr>
            <w:tcW w:w="6400" w:type="dxa"/>
            <w:tcMar>
              <w:top w:w="80" w:type="dxa"/>
              <w:left w:w="100" w:type="dxa"/>
              <w:bottom w:w="80" w:type="dxa"/>
              <w:right w:w="100" w:type="dxa"/>
            </w:tcMar>
          </w:tcPr>
          <w:p w14:paraId="5770D2C6" w14:textId="77777777" w:rsidR="009E5E09" w:rsidRDefault="00000000">
            <w:pPr>
              <w:spacing w:before="40" w:after="40"/>
            </w:pPr>
            <w:r>
              <w:t>Occurs after 2 days or more</w:t>
            </w:r>
          </w:p>
        </w:tc>
      </w:tr>
    </w:tbl>
    <w:p w14:paraId="68F11622" w14:textId="77777777" w:rsidR="009E5E09" w:rsidRDefault="009E5E09">
      <w:pPr>
        <w:spacing w:after="150"/>
      </w:pPr>
    </w:p>
    <w:p w14:paraId="03EB119D" w14:textId="77777777" w:rsidR="009E5E09" w:rsidRDefault="00000000">
      <w:pPr>
        <w:pStyle w:val="Heading2"/>
        <w:spacing w:before="260" w:after="120"/>
      </w:pPr>
      <w:r>
        <w:rPr>
          <w:b/>
          <w:bCs/>
          <w:color w:val="2E5395"/>
          <w:sz w:val="24"/>
          <w:szCs w:val="24"/>
        </w:rPr>
        <w:t>4.2  Based on Severity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0"/>
      </w:tblGrid>
      <w:tr w:rsidR="009E5E09" w14:paraId="78C0EF10" w14:textId="77777777">
        <w:trPr>
          <w:tblHeader/>
        </w:trPr>
        <w:tc>
          <w:tcPr>
            <w:tcW w:w="2500" w:type="dxa"/>
            <w:shd w:val="clear" w:color="auto" w:fill="1F3864"/>
            <w:tcMar>
              <w:top w:w="80" w:type="dxa"/>
              <w:left w:w="100" w:type="dxa"/>
              <w:bottom w:w="80" w:type="dxa"/>
              <w:right w:w="100" w:type="dxa"/>
            </w:tcMar>
          </w:tcPr>
          <w:p w14:paraId="6C0F5FCA" w14:textId="77777777" w:rsidR="009E5E09" w:rsidRDefault="00000000">
            <w:pPr>
              <w:spacing w:before="40" w:after="40"/>
            </w:pPr>
            <w:r>
              <w:rPr>
                <w:b/>
                <w:bCs/>
                <w:color w:val="FFFFFF"/>
              </w:rPr>
              <w:t>Category</w:t>
            </w:r>
          </w:p>
        </w:tc>
        <w:tc>
          <w:tcPr>
            <w:tcW w:w="6400" w:type="dxa"/>
            <w:shd w:val="clear" w:color="auto" w:fill="1F3864"/>
            <w:tcMar>
              <w:top w:w="80" w:type="dxa"/>
              <w:left w:w="100" w:type="dxa"/>
              <w:bottom w:w="80" w:type="dxa"/>
              <w:right w:w="100" w:type="dxa"/>
            </w:tcMar>
          </w:tcPr>
          <w:p w14:paraId="24DACB96" w14:textId="77777777" w:rsidR="009E5E09" w:rsidRDefault="00000000">
            <w:pPr>
              <w:spacing w:before="40" w:after="40"/>
            </w:pPr>
            <w:r>
              <w:rPr>
                <w:b/>
                <w:bCs/>
                <w:color w:val="FFFFFF"/>
              </w:rPr>
              <w:t>Description</w:t>
            </w:r>
          </w:p>
        </w:tc>
      </w:tr>
      <w:tr w:rsidR="009E5E09" w14:paraId="37DA21DD" w14:textId="77777777">
        <w:tc>
          <w:tcPr>
            <w:tcW w:w="2500" w:type="dxa"/>
            <w:tcMar>
              <w:top w:w="80" w:type="dxa"/>
              <w:left w:w="100" w:type="dxa"/>
              <w:bottom w:w="80" w:type="dxa"/>
              <w:right w:w="100" w:type="dxa"/>
            </w:tcMar>
          </w:tcPr>
          <w:p w14:paraId="1CA03426" w14:textId="77777777" w:rsidR="009E5E09" w:rsidRDefault="00000000">
            <w:pPr>
              <w:spacing w:before="40" w:after="40"/>
            </w:pPr>
            <w:r>
              <w:t>Minor</w:t>
            </w:r>
          </w:p>
        </w:tc>
        <w:tc>
          <w:tcPr>
            <w:tcW w:w="6400" w:type="dxa"/>
            <w:tcMar>
              <w:top w:w="80" w:type="dxa"/>
              <w:left w:w="100" w:type="dxa"/>
              <w:bottom w:w="80" w:type="dxa"/>
              <w:right w:w="100" w:type="dxa"/>
            </w:tcMar>
          </w:tcPr>
          <w:p w14:paraId="48FD48AE" w14:textId="77777777" w:rsidR="009E5E09" w:rsidRDefault="00000000">
            <w:pPr>
              <w:spacing w:before="40" w:after="40"/>
            </w:pPr>
            <w:r>
              <w:t>No treatment or antidote is needed</w:t>
            </w:r>
          </w:p>
        </w:tc>
      </w:tr>
      <w:tr w:rsidR="009E5E09" w14:paraId="77925F86" w14:textId="77777777">
        <w:tc>
          <w:tcPr>
            <w:tcW w:w="2500" w:type="dxa"/>
            <w:shd w:val="clear" w:color="auto" w:fill="EAF0F8"/>
            <w:tcMar>
              <w:top w:w="80" w:type="dxa"/>
              <w:left w:w="100" w:type="dxa"/>
              <w:bottom w:w="80" w:type="dxa"/>
              <w:right w:w="100" w:type="dxa"/>
            </w:tcMar>
          </w:tcPr>
          <w:p w14:paraId="4651EF48" w14:textId="77777777" w:rsidR="009E5E09" w:rsidRDefault="00000000">
            <w:pPr>
              <w:spacing w:before="40" w:after="40"/>
            </w:pPr>
            <w:r>
              <w:t>Moderate</w:t>
            </w:r>
          </w:p>
        </w:tc>
        <w:tc>
          <w:tcPr>
            <w:tcW w:w="6400" w:type="dxa"/>
            <w:shd w:val="clear" w:color="auto" w:fill="EAF0F8"/>
            <w:tcMar>
              <w:top w:w="80" w:type="dxa"/>
              <w:left w:w="100" w:type="dxa"/>
              <w:bottom w:w="80" w:type="dxa"/>
              <w:right w:w="100" w:type="dxa"/>
            </w:tcMar>
          </w:tcPr>
          <w:p w14:paraId="50556862" w14:textId="77777777" w:rsidR="009E5E09" w:rsidRDefault="00000000">
            <w:pPr>
              <w:spacing w:before="40" w:after="40"/>
            </w:pPr>
            <w:r>
              <w:t>Requires a change in therapy or specific treatment</w:t>
            </w:r>
          </w:p>
        </w:tc>
      </w:tr>
      <w:tr w:rsidR="009E5E09" w14:paraId="53DCC0AB" w14:textId="77777777">
        <w:tc>
          <w:tcPr>
            <w:tcW w:w="2500" w:type="dxa"/>
            <w:tcMar>
              <w:top w:w="80" w:type="dxa"/>
              <w:left w:w="100" w:type="dxa"/>
              <w:bottom w:w="80" w:type="dxa"/>
              <w:right w:w="100" w:type="dxa"/>
            </w:tcMar>
          </w:tcPr>
          <w:p w14:paraId="45679569" w14:textId="77777777" w:rsidR="009E5E09" w:rsidRDefault="00000000">
            <w:pPr>
              <w:spacing w:before="40" w:after="40"/>
            </w:pPr>
            <w:r>
              <w:t>Severe</w:t>
            </w:r>
          </w:p>
        </w:tc>
        <w:tc>
          <w:tcPr>
            <w:tcW w:w="6400" w:type="dxa"/>
            <w:tcMar>
              <w:top w:w="80" w:type="dxa"/>
              <w:left w:w="100" w:type="dxa"/>
              <w:bottom w:w="80" w:type="dxa"/>
              <w:right w:w="100" w:type="dxa"/>
            </w:tcMar>
          </w:tcPr>
          <w:p w14:paraId="31DBAF31" w14:textId="77777777" w:rsidR="009E5E09" w:rsidRDefault="00000000">
            <w:pPr>
              <w:spacing w:before="40" w:after="40"/>
            </w:pPr>
            <w:r>
              <w:t>Life-threatening, causes permanent damage, or requires intensive treatment</w:t>
            </w:r>
          </w:p>
        </w:tc>
      </w:tr>
      <w:tr w:rsidR="009E5E09" w14:paraId="077C980F" w14:textId="77777777">
        <w:tc>
          <w:tcPr>
            <w:tcW w:w="2500" w:type="dxa"/>
            <w:shd w:val="clear" w:color="auto" w:fill="EAF0F8"/>
            <w:tcMar>
              <w:top w:w="80" w:type="dxa"/>
              <w:left w:w="100" w:type="dxa"/>
              <w:bottom w:w="80" w:type="dxa"/>
              <w:right w:w="100" w:type="dxa"/>
            </w:tcMar>
          </w:tcPr>
          <w:p w14:paraId="56D8401A" w14:textId="77777777" w:rsidR="009E5E09" w:rsidRDefault="00000000">
            <w:pPr>
              <w:spacing w:before="40" w:after="40"/>
            </w:pPr>
            <w:r>
              <w:t>Lethal</w:t>
            </w:r>
          </w:p>
        </w:tc>
        <w:tc>
          <w:tcPr>
            <w:tcW w:w="6400" w:type="dxa"/>
            <w:shd w:val="clear" w:color="auto" w:fill="EAF0F8"/>
            <w:tcMar>
              <w:top w:w="80" w:type="dxa"/>
              <w:left w:w="100" w:type="dxa"/>
              <w:bottom w:w="80" w:type="dxa"/>
              <w:right w:w="100" w:type="dxa"/>
            </w:tcMar>
          </w:tcPr>
          <w:p w14:paraId="4120196F" w14:textId="77777777" w:rsidR="009E5E09" w:rsidRDefault="00000000">
            <w:pPr>
              <w:spacing w:before="40" w:after="40"/>
            </w:pPr>
            <w:r>
              <w:t>Directly or indirectly contributes to the death of the patient</w:t>
            </w:r>
          </w:p>
        </w:tc>
      </w:tr>
    </w:tbl>
    <w:p w14:paraId="51E23E08" w14:textId="77777777" w:rsidR="009E5E09" w:rsidRDefault="00000000">
      <w:pPr>
        <w:pStyle w:val="Heading1"/>
        <w:pBdr>
          <w:bottom w:val="single" w:sz="6" w:space="4" w:color="1F3864"/>
        </w:pBdr>
        <w:spacing w:before="320" w:after="160"/>
      </w:pPr>
      <w:r>
        <w:rPr>
          <w:b/>
          <w:bCs/>
          <w:color w:val="1F3864"/>
          <w:sz w:val="30"/>
          <w:szCs w:val="30"/>
        </w:rPr>
        <w:t>5. Pharmacovigilance: Basic Concepts</w:t>
      </w:r>
    </w:p>
    <w:p w14:paraId="6F7296CA" w14:textId="77777777" w:rsidR="009E5E09" w:rsidRDefault="00000000">
      <w:pPr>
        <w:pStyle w:val="Heading2"/>
        <w:spacing w:before="260" w:after="120"/>
      </w:pPr>
      <w:r>
        <w:rPr>
          <w:b/>
          <w:bCs/>
          <w:color w:val="2E5395"/>
          <w:sz w:val="24"/>
          <w:szCs w:val="24"/>
        </w:rPr>
        <w:t>5.1  Pharmacovigilance</w:t>
      </w:r>
    </w:p>
    <w:p w14:paraId="1A0FB414" w14:textId="6F66CDD4" w:rsidR="009E5E09" w:rsidRDefault="00000000">
      <w:pPr>
        <w:spacing w:after="120" w:line="300" w:lineRule="auto"/>
      </w:pPr>
      <w:r>
        <w:rPr>
          <w:sz w:val="22"/>
          <w:szCs w:val="22"/>
        </w:rPr>
        <w:t xml:space="preserve">Pharmacovigilance is the study or science that helps in detecting, </w:t>
      </w:r>
      <w:r w:rsidR="00EF29DA">
        <w:rPr>
          <w:sz w:val="22"/>
          <w:szCs w:val="22"/>
        </w:rPr>
        <w:t xml:space="preserve">assessing, </w:t>
      </w:r>
      <w:r>
        <w:rPr>
          <w:sz w:val="22"/>
          <w:szCs w:val="22"/>
        </w:rPr>
        <w:t>understanding, and preventing adverse drug reactions.</w:t>
      </w:r>
    </w:p>
    <w:p w14:paraId="677C1DEF" w14:textId="77777777" w:rsidR="009E5E09" w:rsidRDefault="00000000">
      <w:pPr>
        <w:pStyle w:val="Heading2"/>
        <w:spacing w:before="260" w:after="120"/>
      </w:pPr>
      <w:r>
        <w:rPr>
          <w:b/>
          <w:bCs/>
          <w:color w:val="2E5395"/>
          <w:sz w:val="24"/>
          <w:szCs w:val="24"/>
        </w:rPr>
        <w:t>5.2  Adverse Event</w:t>
      </w:r>
    </w:p>
    <w:p w14:paraId="1F953C48" w14:textId="77777777" w:rsidR="009E5E09" w:rsidRDefault="00000000">
      <w:pPr>
        <w:spacing w:after="120" w:line="300" w:lineRule="auto"/>
      </w:pPr>
      <w:r>
        <w:rPr>
          <w:sz w:val="22"/>
          <w:szCs w:val="22"/>
        </w:rPr>
        <w:t>Any unwanted event that occurs during treatment is termed an adverse event.</w:t>
      </w:r>
    </w:p>
    <w:p w14:paraId="3B36638F" w14:textId="77777777" w:rsidR="009E5E09" w:rsidRDefault="00000000">
      <w:pPr>
        <w:pStyle w:val="Heading2"/>
        <w:spacing w:before="260" w:after="120"/>
      </w:pPr>
      <w:r>
        <w:rPr>
          <w:b/>
          <w:bCs/>
          <w:color w:val="2E5395"/>
          <w:sz w:val="24"/>
          <w:szCs w:val="24"/>
        </w:rPr>
        <w:t>5.3  Serious Adverse Event</w:t>
      </w:r>
    </w:p>
    <w:p w14:paraId="309630C7" w14:textId="22678F50" w:rsidR="009E5E09" w:rsidRDefault="00000000">
      <w:pPr>
        <w:spacing w:after="120" w:line="300" w:lineRule="auto"/>
      </w:pPr>
      <w:r>
        <w:rPr>
          <w:sz w:val="22"/>
          <w:szCs w:val="22"/>
        </w:rPr>
        <w:t>An adverse event is classified as serious</w:t>
      </w:r>
      <w:r w:rsidR="00EF29DA">
        <w:rPr>
          <w:sz w:val="22"/>
          <w:szCs w:val="22"/>
        </w:rPr>
        <w:t xml:space="preserve"> adverse event </w:t>
      </w:r>
      <w:r>
        <w:rPr>
          <w:sz w:val="22"/>
          <w:szCs w:val="22"/>
        </w:rPr>
        <w:t xml:space="preserve">if it is life-threatening, or results in death, disability, hospitalization, </w:t>
      </w:r>
      <w:r w:rsidR="00EF29DA">
        <w:rPr>
          <w:sz w:val="22"/>
          <w:szCs w:val="22"/>
        </w:rPr>
        <w:t xml:space="preserve">prolonged hospitalization </w:t>
      </w:r>
      <w:r>
        <w:rPr>
          <w:sz w:val="22"/>
          <w:szCs w:val="22"/>
        </w:rPr>
        <w:t>or requires significant intervention to prevent permanent damage.</w:t>
      </w:r>
    </w:p>
    <w:p w14:paraId="68A9F4D8" w14:textId="1A358795" w:rsidR="009E5E09" w:rsidRDefault="00EF29DA">
      <w:pPr>
        <w:pStyle w:val="Heading1"/>
        <w:pBdr>
          <w:bottom w:val="single" w:sz="6" w:space="4" w:color="1F3864"/>
        </w:pBdr>
        <w:spacing w:before="320" w:after="160"/>
      </w:pPr>
      <w:r>
        <w:rPr>
          <w:b/>
          <w:bCs/>
          <w:color w:val="1F3864"/>
          <w:sz w:val="30"/>
          <w:szCs w:val="30"/>
        </w:rPr>
        <w:t>6. Causality Assessment</w:t>
      </w:r>
    </w:p>
    <w:p w14:paraId="5B22FED9" w14:textId="77777777" w:rsidR="009E5E09" w:rsidRDefault="00000000">
      <w:pPr>
        <w:spacing w:after="120" w:line="300" w:lineRule="auto"/>
      </w:pPr>
      <w:r>
        <w:rPr>
          <w:sz w:val="22"/>
          <w:szCs w:val="22"/>
        </w:rPr>
        <w:lastRenderedPageBreak/>
        <w:t xml:space="preserve">Causality assessment is an evaluation carried out to check whether a suspected drug is </w:t>
      </w:r>
      <w:proofErr w:type="gramStart"/>
      <w:r>
        <w:rPr>
          <w:sz w:val="22"/>
          <w:szCs w:val="22"/>
        </w:rPr>
        <w:t>actually responsible</w:t>
      </w:r>
      <w:proofErr w:type="gramEnd"/>
      <w:r>
        <w:rPr>
          <w:sz w:val="22"/>
          <w:szCs w:val="22"/>
        </w:rPr>
        <w:t xml:space="preserve"> for causing the observed adverse drug reaction.</w:t>
      </w:r>
    </w:p>
    <w:p w14:paraId="6897B8C0" w14:textId="0039E0B4" w:rsidR="009E5E09" w:rsidRDefault="00EF29DA">
      <w:pPr>
        <w:pStyle w:val="Heading2"/>
        <w:spacing w:before="260" w:after="120"/>
      </w:pPr>
      <w:r>
        <w:rPr>
          <w:b/>
          <w:bCs/>
          <w:color w:val="2E5395"/>
          <w:sz w:val="24"/>
          <w:szCs w:val="24"/>
        </w:rPr>
        <w:t>6.1  Scales Used for Assessment</w:t>
      </w:r>
    </w:p>
    <w:p w14:paraId="1F978980" w14:textId="77777777" w:rsidR="009E5E09" w:rsidRDefault="00000000">
      <w:pPr>
        <w:pStyle w:val="ListParagraph"/>
        <w:numPr>
          <w:ilvl w:val="0"/>
          <w:numId w:val="2"/>
        </w:numPr>
        <w:spacing w:after="80" w:line="280" w:lineRule="auto"/>
      </w:pPr>
      <w:r>
        <w:rPr>
          <w:sz w:val="22"/>
          <w:szCs w:val="22"/>
        </w:rPr>
        <w:t>WHO–UMC (Uppsala Monitoring Centre) scale</w:t>
      </w:r>
    </w:p>
    <w:p w14:paraId="1382AE9F" w14:textId="77777777" w:rsidR="009E5E09" w:rsidRDefault="00000000">
      <w:pPr>
        <w:pStyle w:val="ListParagraph"/>
        <w:numPr>
          <w:ilvl w:val="0"/>
          <w:numId w:val="2"/>
        </w:numPr>
        <w:spacing w:after="80" w:line="280" w:lineRule="auto"/>
      </w:pPr>
      <w:r>
        <w:rPr>
          <w:sz w:val="22"/>
          <w:szCs w:val="22"/>
        </w:rPr>
        <w:t>Naranjo algorithm</w:t>
      </w:r>
    </w:p>
    <w:p w14:paraId="1771C94E" w14:textId="6263C42B" w:rsidR="009E5E09" w:rsidRDefault="00EF29DA">
      <w:pPr>
        <w:pStyle w:val="Heading2"/>
        <w:spacing w:before="260" w:after="120"/>
      </w:pPr>
      <w:r>
        <w:rPr>
          <w:b/>
          <w:bCs/>
          <w:color w:val="2E5395"/>
          <w:sz w:val="24"/>
          <w:szCs w:val="24"/>
        </w:rPr>
        <w:t>6.2  Bradford Hill Criteria</w:t>
      </w:r>
    </w:p>
    <w:p w14:paraId="03446A04" w14:textId="77777777" w:rsidR="009E5E09" w:rsidRDefault="00000000">
      <w:pPr>
        <w:spacing w:after="120" w:line="300" w:lineRule="auto"/>
      </w:pPr>
      <w:r>
        <w:rPr>
          <w:sz w:val="22"/>
          <w:szCs w:val="22"/>
        </w:rPr>
        <w:t>The Bradford Hill criteria assess causality using the following considerations:</w:t>
      </w:r>
    </w:p>
    <w:p w14:paraId="72A3C32A" w14:textId="77777777" w:rsidR="009E5E09" w:rsidRDefault="00000000">
      <w:pPr>
        <w:pStyle w:val="ListParagraph"/>
        <w:numPr>
          <w:ilvl w:val="0"/>
          <w:numId w:val="2"/>
        </w:numPr>
        <w:spacing w:after="80" w:line="280" w:lineRule="auto"/>
      </w:pPr>
      <w:r>
        <w:rPr>
          <w:b/>
          <w:bCs/>
          <w:sz w:val="22"/>
          <w:szCs w:val="22"/>
        </w:rPr>
        <w:t xml:space="preserve">Temporal relationship: </w:t>
      </w:r>
      <w:r>
        <w:rPr>
          <w:sz w:val="22"/>
          <w:szCs w:val="22"/>
        </w:rPr>
        <w:t>looks for a time-bound relationship — that is, whether the ADR occurred after the drug was administered, or whether it was already present before the drug was taken.</w:t>
      </w:r>
    </w:p>
    <w:p w14:paraId="0F830671" w14:textId="77777777" w:rsidR="009E5E09" w:rsidRDefault="00000000">
      <w:pPr>
        <w:pStyle w:val="ListParagraph"/>
        <w:numPr>
          <w:ilvl w:val="0"/>
          <w:numId w:val="2"/>
        </w:numPr>
        <w:spacing w:after="80" w:line="280" w:lineRule="auto"/>
      </w:pPr>
      <w:r>
        <w:rPr>
          <w:b/>
          <w:bCs/>
          <w:sz w:val="22"/>
          <w:szCs w:val="22"/>
        </w:rPr>
        <w:t xml:space="preserve">Plausibility: </w:t>
      </w:r>
      <w:r>
        <w:rPr>
          <w:sz w:val="22"/>
          <w:szCs w:val="22"/>
        </w:rPr>
        <w:t>whether the proposed theory linking the drug to the reaction can be proven or supported.</w:t>
      </w:r>
    </w:p>
    <w:p w14:paraId="309AE1E9" w14:textId="77777777" w:rsidR="009E5E09" w:rsidRDefault="00000000">
      <w:pPr>
        <w:pStyle w:val="ListParagraph"/>
        <w:numPr>
          <w:ilvl w:val="0"/>
          <w:numId w:val="2"/>
        </w:numPr>
        <w:spacing w:after="80" w:line="280" w:lineRule="auto"/>
      </w:pPr>
      <w:r>
        <w:rPr>
          <w:b/>
          <w:bCs/>
          <w:sz w:val="22"/>
          <w:szCs w:val="22"/>
        </w:rPr>
        <w:t xml:space="preserve">Dose–response relationship: </w:t>
      </w:r>
      <w:r>
        <w:rPr>
          <w:sz w:val="22"/>
          <w:szCs w:val="22"/>
        </w:rPr>
        <w:t>whether the strength of the reaction correlates with the dose administered.</w:t>
      </w:r>
    </w:p>
    <w:p w14:paraId="40D97EB6" w14:textId="77777777" w:rsidR="009E5E09" w:rsidRDefault="00000000">
      <w:pPr>
        <w:pStyle w:val="ListParagraph"/>
        <w:numPr>
          <w:ilvl w:val="0"/>
          <w:numId w:val="2"/>
        </w:numPr>
        <w:spacing w:after="80" w:line="280" w:lineRule="auto"/>
      </w:pPr>
      <w:r>
        <w:rPr>
          <w:b/>
          <w:bCs/>
          <w:sz w:val="22"/>
          <w:szCs w:val="22"/>
        </w:rPr>
        <w:t xml:space="preserve">Consistency: </w:t>
      </w:r>
      <w:r>
        <w:rPr>
          <w:sz w:val="22"/>
          <w:szCs w:val="22"/>
        </w:rPr>
        <w:t>whether the ADR is consistently reproducible with the drug in question.</w:t>
      </w:r>
    </w:p>
    <w:p w14:paraId="72DEE880" w14:textId="735F971F" w:rsidR="009E5E09" w:rsidRDefault="00EF29DA">
      <w:pPr>
        <w:pStyle w:val="Heading1"/>
        <w:pBdr>
          <w:bottom w:val="single" w:sz="6" w:space="4" w:color="1F3864"/>
        </w:pBdr>
        <w:spacing w:before="320" w:after="160"/>
      </w:pPr>
      <w:r>
        <w:rPr>
          <w:b/>
          <w:bCs/>
          <w:color w:val="1F3864"/>
          <w:sz w:val="30"/>
          <w:szCs w:val="30"/>
        </w:rPr>
        <w:t>7. Pharmacovigilance Programme of India (</w:t>
      </w:r>
      <w:proofErr w:type="spellStart"/>
      <w:r>
        <w:rPr>
          <w:b/>
          <w:bCs/>
          <w:color w:val="1F3864"/>
          <w:sz w:val="30"/>
          <w:szCs w:val="30"/>
        </w:rPr>
        <w:t>PvPI</w:t>
      </w:r>
      <w:proofErr w:type="spellEnd"/>
      <w:r>
        <w:rPr>
          <w:b/>
          <w:bCs/>
          <w:color w:val="1F3864"/>
          <w:sz w:val="30"/>
          <w:szCs w:val="30"/>
        </w:rPr>
        <w:t>)</w:t>
      </w:r>
    </w:p>
    <w:p w14:paraId="6C8A7547" w14:textId="77777777" w:rsidR="009E5E09" w:rsidRDefault="00000000">
      <w:pPr>
        <w:spacing w:after="120" w:line="300" w:lineRule="auto"/>
      </w:pPr>
      <w:r>
        <w:rPr>
          <w:sz w:val="22"/>
          <w:szCs w:val="22"/>
        </w:rPr>
        <w:t xml:space="preserve">The goal of </w:t>
      </w:r>
      <w:proofErr w:type="spellStart"/>
      <w:r>
        <w:rPr>
          <w:sz w:val="22"/>
          <w:szCs w:val="22"/>
        </w:rPr>
        <w:t>PvPI</w:t>
      </w:r>
      <w:proofErr w:type="spellEnd"/>
      <w:r>
        <w:rPr>
          <w:sz w:val="22"/>
          <w:szCs w:val="22"/>
        </w:rPr>
        <w:t xml:space="preserve"> is to ensure that the drugs used are more beneficial than the risk they pose, and to safeguard the health of the Indian population.</w:t>
      </w:r>
    </w:p>
    <w:p w14:paraId="16C20B86" w14:textId="2FEFE2DF" w:rsidR="009E5E09" w:rsidRDefault="00EF29DA">
      <w:pPr>
        <w:pStyle w:val="Heading2"/>
        <w:spacing w:before="260" w:after="120"/>
      </w:pPr>
      <w:r>
        <w:rPr>
          <w:b/>
          <w:bCs/>
          <w:color w:val="2E5395"/>
          <w:sz w:val="24"/>
          <w:szCs w:val="24"/>
        </w:rPr>
        <w:t xml:space="preserve">7.1  Objectives of </w:t>
      </w:r>
      <w:proofErr w:type="spellStart"/>
      <w:r>
        <w:rPr>
          <w:b/>
          <w:bCs/>
          <w:color w:val="2E5395"/>
          <w:sz w:val="24"/>
          <w:szCs w:val="24"/>
        </w:rPr>
        <w:t>PvPI</w:t>
      </w:r>
      <w:proofErr w:type="spellEnd"/>
    </w:p>
    <w:p w14:paraId="2D40C85B" w14:textId="77777777" w:rsidR="009E5E09" w:rsidRDefault="00000000">
      <w:pPr>
        <w:pStyle w:val="ListParagraph"/>
        <w:numPr>
          <w:ilvl w:val="0"/>
          <w:numId w:val="2"/>
        </w:numPr>
        <w:spacing w:after="80" w:line="280" w:lineRule="auto"/>
      </w:pPr>
      <w:r>
        <w:rPr>
          <w:sz w:val="22"/>
          <w:szCs w:val="22"/>
        </w:rPr>
        <w:t>Monitoring adverse drug reactions (ADR).</w:t>
      </w:r>
    </w:p>
    <w:p w14:paraId="29531923" w14:textId="77777777" w:rsidR="009E5E09" w:rsidRDefault="00000000">
      <w:pPr>
        <w:pStyle w:val="ListParagraph"/>
        <w:numPr>
          <w:ilvl w:val="0"/>
          <w:numId w:val="2"/>
        </w:numPr>
        <w:spacing w:after="80" w:line="280" w:lineRule="auto"/>
      </w:pPr>
      <w:r>
        <w:rPr>
          <w:sz w:val="22"/>
          <w:szCs w:val="22"/>
        </w:rPr>
        <w:t>To create awareness among healthcare professionals about the importance of ADR reporting.</w:t>
      </w:r>
    </w:p>
    <w:p w14:paraId="73F81187" w14:textId="77777777" w:rsidR="009E5E09" w:rsidRDefault="00000000">
      <w:pPr>
        <w:pStyle w:val="ListParagraph"/>
        <w:numPr>
          <w:ilvl w:val="0"/>
          <w:numId w:val="2"/>
        </w:numPr>
        <w:spacing w:after="80" w:line="280" w:lineRule="auto"/>
      </w:pPr>
      <w:r>
        <w:rPr>
          <w:sz w:val="22"/>
          <w:szCs w:val="22"/>
        </w:rPr>
        <w:t>To understand the risk–benefit profile of pharmaceuticals and to create recommendations based on this profile.</w:t>
      </w:r>
    </w:p>
    <w:p w14:paraId="0EC562A1" w14:textId="73266832" w:rsidR="009E5E09" w:rsidRDefault="00EF29DA">
      <w:pPr>
        <w:pStyle w:val="Heading2"/>
        <w:spacing w:before="260" w:after="120"/>
      </w:pPr>
      <w:r>
        <w:rPr>
          <w:b/>
          <w:bCs/>
          <w:color w:val="2E5395"/>
          <w:sz w:val="24"/>
          <w:szCs w:val="24"/>
        </w:rPr>
        <w:t>7.2  ADR Reporting Procedure</w:t>
      </w:r>
    </w:p>
    <w:p w14:paraId="45657442" w14:textId="77777777" w:rsidR="009E5E09" w:rsidRDefault="00000000">
      <w:pPr>
        <w:pStyle w:val="ListParagraph"/>
        <w:numPr>
          <w:ilvl w:val="0"/>
          <w:numId w:val="2"/>
        </w:numPr>
        <w:spacing w:after="80" w:line="280" w:lineRule="auto"/>
      </w:pPr>
      <w:r>
        <w:rPr>
          <w:sz w:val="22"/>
          <w:szCs w:val="22"/>
        </w:rPr>
        <w:t>Healthcare professionals as well as consumers can report an ADR.</w:t>
      </w:r>
    </w:p>
    <w:p w14:paraId="6029E38A" w14:textId="77777777" w:rsidR="009E5E09" w:rsidRDefault="00000000">
      <w:pPr>
        <w:pStyle w:val="ListParagraph"/>
        <w:numPr>
          <w:ilvl w:val="0"/>
          <w:numId w:val="2"/>
        </w:numPr>
        <w:spacing w:after="80" w:line="280" w:lineRule="auto"/>
      </w:pPr>
      <w:r>
        <w:rPr>
          <w:sz w:val="22"/>
          <w:szCs w:val="22"/>
        </w:rPr>
        <w:t xml:space="preserve">The ADR </w:t>
      </w:r>
      <w:proofErr w:type="spellStart"/>
      <w:r>
        <w:rPr>
          <w:sz w:val="22"/>
          <w:szCs w:val="22"/>
        </w:rPr>
        <w:t>PvPI</w:t>
      </w:r>
      <w:proofErr w:type="spellEnd"/>
      <w:r>
        <w:rPr>
          <w:sz w:val="22"/>
          <w:szCs w:val="22"/>
        </w:rPr>
        <w:t xml:space="preserve"> mobile app is available for reporting ADRs directly.</w:t>
      </w:r>
    </w:p>
    <w:p w14:paraId="420AFDA0" w14:textId="77777777" w:rsidR="009E5E09" w:rsidRDefault="00000000">
      <w:pPr>
        <w:pStyle w:val="ListParagraph"/>
        <w:numPr>
          <w:ilvl w:val="0"/>
          <w:numId w:val="2"/>
        </w:numPr>
        <w:spacing w:after="80" w:line="280" w:lineRule="auto"/>
      </w:pPr>
      <w:r>
        <w:rPr>
          <w:sz w:val="22"/>
          <w:szCs w:val="22"/>
        </w:rPr>
        <w:t>ADR reporting forms are also available on the CDSCO website.</w:t>
      </w:r>
    </w:p>
    <w:p w14:paraId="3AB0AA75" w14:textId="051485BE" w:rsidR="009E5E09" w:rsidRDefault="00EF29DA">
      <w:pPr>
        <w:pStyle w:val="Heading2"/>
        <w:spacing w:before="260" w:after="120"/>
      </w:pPr>
      <w:r>
        <w:rPr>
          <w:b/>
          <w:bCs/>
          <w:color w:val="2E5395"/>
          <w:sz w:val="24"/>
          <w:szCs w:val="24"/>
        </w:rPr>
        <w:t>7.3  Points to Keep in Mind While Reporting an ADR</w:t>
      </w:r>
    </w:p>
    <w:p w14:paraId="26882159" w14:textId="77777777" w:rsidR="009E5E09" w:rsidRDefault="00000000">
      <w:pPr>
        <w:pStyle w:val="ListParagraph"/>
        <w:numPr>
          <w:ilvl w:val="0"/>
          <w:numId w:val="2"/>
        </w:numPr>
        <w:spacing w:after="80" w:line="280" w:lineRule="auto"/>
      </w:pPr>
      <w:r>
        <w:rPr>
          <w:b/>
          <w:bCs/>
          <w:sz w:val="22"/>
          <w:szCs w:val="22"/>
        </w:rPr>
        <w:t xml:space="preserve">Patient information: </w:t>
      </w:r>
      <w:r>
        <w:rPr>
          <w:sz w:val="22"/>
          <w:szCs w:val="22"/>
        </w:rPr>
        <w:t>record the patient's initials, age at the time of the event (or date of birth), sex, and weight.</w:t>
      </w:r>
    </w:p>
    <w:p w14:paraId="4F741AD0" w14:textId="77777777" w:rsidR="009E5E09" w:rsidRDefault="00000000">
      <w:pPr>
        <w:pStyle w:val="ListParagraph"/>
        <w:numPr>
          <w:ilvl w:val="0"/>
          <w:numId w:val="2"/>
        </w:numPr>
        <w:spacing w:after="80" w:line="280" w:lineRule="auto"/>
      </w:pPr>
      <w:r>
        <w:rPr>
          <w:b/>
          <w:bCs/>
          <w:sz w:val="22"/>
          <w:szCs w:val="22"/>
        </w:rPr>
        <w:t xml:space="preserve">Suspected reaction details: </w:t>
      </w:r>
      <w:r>
        <w:rPr>
          <w:sz w:val="22"/>
          <w:szCs w:val="22"/>
        </w:rPr>
        <w:t>note the date of reaction, date of recovery, and a clear description of the reaction or problem observed.</w:t>
      </w:r>
    </w:p>
    <w:p w14:paraId="34358258" w14:textId="77777777" w:rsidR="009E5E09" w:rsidRDefault="00000000">
      <w:pPr>
        <w:pStyle w:val="ListParagraph"/>
        <w:numPr>
          <w:ilvl w:val="0"/>
          <w:numId w:val="2"/>
        </w:numPr>
        <w:spacing w:after="80" w:line="280" w:lineRule="auto"/>
      </w:pPr>
      <w:r>
        <w:rPr>
          <w:b/>
          <w:bCs/>
          <w:sz w:val="22"/>
          <w:szCs w:val="22"/>
        </w:rPr>
        <w:t xml:space="preserve">Suspected medication details: </w:t>
      </w:r>
      <w:r>
        <w:rPr>
          <w:sz w:val="22"/>
          <w:szCs w:val="22"/>
        </w:rPr>
        <w:t>include the name of the drug, manufacturer, batch/lot number, expiry date, dose used, route used, frequency, therapy dates, and indication for use.</w:t>
      </w:r>
    </w:p>
    <w:p w14:paraId="03D62936" w14:textId="77777777" w:rsidR="009E5E09" w:rsidRDefault="00000000">
      <w:pPr>
        <w:pStyle w:val="ListParagraph"/>
        <w:numPr>
          <w:ilvl w:val="0"/>
          <w:numId w:val="2"/>
        </w:numPr>
        <w:spacing w:after="80" w:line="280" w:lineRule="auto"/>
      </w:pPr>
      <w:r>
        <w:rPr>
          <w:b/>
          <w:bCs/>
          <w:sz w:val="22"/>
          <w:szCs w:val="22"/>
        </w:rPr>
        <w:t xml:space="preserve">Action </w:t>
      </w:r>
      <w:proofErr w:type="gramStart"/>
      <w:r>
        <w:rPr>
          <w:b/>
          <w:bCs/>
          <w:sz w:val="22"/>
          <w:szCs w:val="22"/>
        </w:rPr>
        <w:t>taken:</w:t>
      </w:r>
      <w:proofErr w:type="gramEnd"/>
      <w:r>
        <w:rPr>
          <w:b/>
          <w:bCs/>
          <w:sz w:val="22"/>
          <w:szCs w:val="22"/>
        </w:rPr>
        <w:t xml:space="preserve"> </w:t>
      </w:r>
      <w:r>
        <w:rPr>
          <w:sz w:val="22"/>
          <w:szCs w:val="22"/>
        </w:rPr>
        <w:t>mention whether the drug was withdrawn, or the dose was increased, reduced, or left unchanged.</w:t>
      </w:r>
    </w:p>
    <w:p w14:paraId="49F7BBC8" w14:textId="77777777" w:rsidR="009E5E09" w:rsidRDefault="00000000">
      <w:pPr>
        <w:pStyle w:val="ListParagraph"/>
        <w:numPr>
          <w:ilvl w:val="0"/>
          <w:numId w:val="2"/>
        </w:numPr>
        <w:spacing w:after="80" w:line="280" w:lineRule="auto"/>
      </w:pPr>
      <w:r>
        <w:rPr>
          <w:b/>
          <w:bCs/>
          <w:sz w:val="22"/>
          <w:szCs w:val="22"/>
        </w:rPr>
        <w:lastRenderedPageBreak/>
        <w:t xml:space="preserve">Causality assessment: </w:t>
      </w:r>
      <w:r>
        <w:rPr>
          <w:sz w:val="22"/>
          <w:szCs w:val="22"/>
        </w:rPr>
        <w:t>include an assessment (e.g., WHO–UMC scale, Naranjo algorithm, or Bradford Hill criteria) of whether the drug is genuinely responsible for the reaction.</w:t>
      </w:r>
    </w:p>
    <w:p w14:paraId="3FEBC637" w14:textId="77777777" w:rsidR="009E5E09" w:rsidRDefault="00000000">
      <w:pPr>
        <w:pStyle w:val="ListParagraph"/>
        <w:numPr>
          <w:ilvl w:val="0"/>
          <w:numId w:val="2"/>
        </w:numPr>
        <w:spacing w:after="80" w:line="280" w:lineRule="auto"/>
      </w:pPr>
      <w:r>
        <w:rPr>
          <w:b/>
          <w:bCs/>
          <w:sz w:val="22"/>
          <w:szCs w:val="22"/>
        </w:rPr>
        <w:t xml:space="preserve">Timeliness: </w:t>
      </w:r>
      <w:r>
        <w:rPr>
          <w:sz w:val="22"/>
          <w:szCs w:val="22"/>
        </w:rPr>
        <w:t>report the suspected ADR as early as possible, even if all information is not yet complete or confirmed.</w:t>
      </w:r>
    </w:p>
    <w:p w14:paraId="53200EA9" w14:textId="77777777" w:rsidR="009E5E09" w:rsidRDefault="00000000">
      <w:pPr>
        <w:pStyle w:val="ListParagraph"/>
        <w:numPr>
          <w:ilvl w:val="0"/>
          <w:numId w:val="2"/>
        </w:numPr>
        <w:spacing w:after="80" w:line="280" w:lineRule="auto"/>
      </w:pPr>
      <w:r>
        <w:rPr>
          <w:b/>
          <w:bCs/>
          <w:sz w:val="22"/>
          <w:szCs w:val="22"/>
        </w:rPr>
        <w:t xml:space="preserve">Who can </w:t>
      </w:r>
      <w:proofErr w:type="gramStart"/>
      <w:r>
        <w:rPr>
          <w:b/>
          <w:bCs/>
          <w:sz w:val="22"/>
          <w:szCs w:val="22"/>
        </w:rPr>
        <w:t>report:</w:t>
      </w:r>
      <w:proofErr w:type="gramEnd"/>
      <w:r>
        <w:rPr>
          <w:b/>
          <w:bCs/>
          <w:sz w:val="22"/>
          <w:szCs w:val="22"/>
        </w:rPr>
        <w:t xml:space="preserve"> </w:t>
      </w:r>
      <w:r>
        <w:rPr>
          <w:sz w:val="22"/>
          <w:szCs w:val="22"/>
        </w:rPr>
        <w:t xml:space="preserve">both healthcare professionals and consumers are encouraged to report, using the ADR </w:t>
      </w:r>
      <w:proofErr w:type="spellStart"/>
      <w:r>
        <w:rPr>
          <w:sz w:val="22"/>
          <w:szCs w:val="22"/>
        </w:rPr>
        <w:t>PvPI</w:t>
      </w:r>
      <w:proofErr w:type="spellEnd"/>
      <w:r>
        <w:rPr>
          <w:sz w:val="22"/>
          <w:szCs w:val="22"/>
        </w:rPr>
        <w:t xml:space="preserve"> app or the CDSCO reporting forms.</w:t>
      </w:r>
    </w:p>
    <w:p w14:paraId="0FDF4BB4" w14:textId="77777777" w:rsidR="009E5E09" w:rsidRDefault="00000000">
      <w:pPr>
        <w:pStyle w:val="Heading1"/>
        <w:pBdr>
          <w:bottom w:val="single" w:sz="6" w:space="4" w:color="1F3864"/>
        </w:pBdr>
        <w:spacing w:before="320" w:after="160"/>
      </w:pPr>
      <w:r>
        <w:rPr>
          <w:b/>
          <w:bCs/>
          <w:color w:val="1F3864"/>
          <w:sz w:val="30"/>
          <w:szCs w:val="30"/>
        </w:rPr>
        <w:t>Summary</w:t>
      </w:r>
    </w:p>
    <w:p w14:paraId="0467F7DC" w14:textId="77777777" w:rsidR="009E5E09" w:rsidRDefault="00000000">
      <w:pPr>
        <w:spacing w:after="120" w:line="300" w:lineRule="auto"/>
      </w:pPr>
      <w:r>
        <w:rPr>
          <w:sz w:val="22"/>
          <w:szCs w:val="22"/>
        </w:rPr>
        <w:t>An Adverse Drug Reaction (ADR) is any harmful and unintended response to a drug occurring at normal therapeutic doses. The thalidomide tragedy of the 1950s highlighted the need for systematic drug safety monitoring and gave rise to modern pharmacovigilance. ADRs are classified by the Rawlins–Thompson system into Types A–F based on predictability and dose-</w:t>
      </w:r>
      <w:proofErr w:type="gramStart"/>
      <w:r>
        <w:rPr>
          <w:sz w:val="22"/>
          <w:szCs w:val="22"/>
        </w:rPr>
        <w:t>relationship, and</w:t>
      </w:r>
      <w:proofErr w:type="gramEnd"/>
      <w:r>
        <w:rPr>
          <w:sz w:val="22"/>
          <w:szCs w:val="22"/>
        </w:rPr>
        <w:t xml:space="preserve"> can further arise through several mechanisms — pharmacological toxicity, pathological toxicity, genotoxicity, allergic (hypersensitivity) reactions, idiosyncratic responses, pharmacogenetic variation, and teratogenicity. ADRs are also categorized by their time of onset (acute, sub-acute, latent) and by severity (minor, moderate, severe, lethal).</w:t>
      </w:r>
    </w:p>
    <w:p w14:paraId="239C60A1" w14:textId="77777777" w:rsidR="009E5E09" w:rsidRDefault="00000000">
      <w:pPr>
        <w:spacing w:after="120" w:line="300" w:lineRule="auto"/>
      </w:pPr>
      <w:r>
        <w:rPr>
          <w:sz w:val="22"/>
          <w:szCs w:val="22"/>
        </w:rPr>
        <w:t>Detecting and managing ADRs relies on structured reporting of patient details, the suspected reaction, the suspected medication, and any action taken, followed by a causality assessment — using tools such as the WHO–UMC scale, the Naranjo algorithm, and the Bradford Hill criteria — to establish whether a drug is truly responsible for a reaction. In India, the Pharmacovigilance Programme of India (</w:t>
      </w:r>
      <w:proofErr w:type="spellStart"/>
      <w:r>
        <w:rPr>
          <w:sz w:val="22"/>
          <w:szCs w:val="22"/>
        </w:rPr>
        <w:t>PvPI</w:t>
      </w:r>
      <w:proofErr w:type="spellEnd"/>
      <w:r>
        <w:rPr>
          <w:sz w:val="22"/>
          <w:szCs w:val="22"/>
        </w:rPr>
        <w:t xml:space="preserve">) coordinates this process nationally, encouraging both healthcare professionals and consumers to report ADRs through the </w:t>
      </w:r>
      <w:proofErr w:type="spellStart"/>
      <w:r>
        <w:rPr>
          <w:sz w:val="22"/>
          <w:szCs w:val="22"/>
        </w:rPr>
        <w:t>PvPI</w:t>
      </w:r>
      <w:proofErr w:type="spellEnd"/>
      <w:r>
        <w:rPr>
          <w:sz w:val="22"/>
          <w:szCs w:val="22"/>
        </w:rPr>
        <w:t xml:space="preserve"> app or CDSCO reporting forms, with the aim of ensuring that medicines remain more beneficial than harmful to the population.</w:t>
      </w:r>
    </w:p>
    <w:p w14:paraId="4133D2AF" w14:textId="77777777" w:rsidR="009E5E09" w:rsidRDefault="00000000">
      <w:pPr>
        <w:pStyle w:val="Heading1"/>
        <w:pBdr>
          <w:bottom w:val="single" w:sz="6" w:space="4" w:color="1F3864"/>
        </w:pBdr>
        <w:spacing w:before="320" w:after="160"/>
      </w:pPr>
      <w:r>
        <w:rPr>
          <w:b/>
          <w:bCs/>
          <w:color w:val="1F3864"/>
          <w:sz w:val="30"/>
          <w:szCs w:val="30"/>
        </w:rPr>
        <w:t>Conclusion</w:t>
      </w:r>
    </w:p>
    <w:p w14:paraId="7C266760" w14:textId="77777777" w:rsidR="009E5E09" w:rsidRDefault="00000000">
      <w:pPr>
        <w:spacing w:after="120" w:line="300" w:lineRule="auto"/>
        <w:rPr>
          <w:sz w:val="22"/>
          <w:szCs w:val="22"/>
        </w:rPr>
      </w:pPr>
      <w:r>
        <w:rPr>
          <w:sz w:val="22"/>
          <w:szCs w:val="22"/>
        </w:rPr>
        <w:t xml:space="preserve">Adverse Drug Reactions remain an unavoidable aspect of pharmacotherapy, but their impact can be significantly minimized through vigilant monitoring, accurate reporting, and rigorous causality assessment. A sound understanding of ADR classification and mechanisms enables healthcare professionals to anticipate, recognize, and manage such reactions more effectively. Robust pharmacovigilance systems, exemplified by programmes such as </w:t>
      </w:r>
      <w:proofErr w:type="spellStart"/>
      <w:r>
        <w:rPr>
          <w:sz w:val="22"/>
          <w:szCs w:val="22"/>
        </w:rPr>
        <w:t>PvPI</w:t>
      </w:r>
      <w:proofErr w:type="spellEnd"/>
      <w:r>
        <w:rPr>
          <w:sz w:val="22"/>
          <w:szCs w:val="22"/>
        </w:rPr>
        <w:t>, play a crucial role in continuously evaluating drug safety after they reach the market, ultimately protecting patient health and reinforcing the trust placed in modern medicine.</w:t>
      </w:r>
    </w:p>
    <w:p w14:paraId="061E8143" w14:textId="77777777" w:rsidR="0088207C" w:rsidRDefault="0088207C">
      <w:pPr>
        <w:spacing w:after="120" w:line="300" w:lineRule="auto"/>
        <w:rPr>
          <w:sz w:val="22"/>
          <w:szCs w:val="22"/>
        </w:rPr>
      </w:pPr>
    </w:p>
    <w:p w14:paraId="70415B9E" w14:textId="77777777" w:rsidR="0088207C" w:rsidRPr="0088207C" w:rsidRDefault="0088207C" w:rsidP="0088207C">
      <w:pPr>
        <w:pStyle w:val="Heading1"/>
        <w:rPr>
          <w:b/>
          <w:bCs/>
          <w:color w:val="1F3864" w:themeColor="accent1" w:themeShade="80"/>
          <w:sz w:val="30"/>
          <w:szCs w:val="30"/>
          <w:u w:val="single"/>
        </w:rPr>
      </w:pPr>
      <w:r w:rsidRPr="0088207C">
        <w:rPr>
          <w:b/>
          <w:bCs/>
          <w:color w:val="1F3864" w:themeColor="accent1" w:themeShade="80"/>
          <w:sz w:val="30"/>
          <w:szCs w:val="30"/>
          <w:u w:val="single"/>
        </w:rPr>
        <w:t>Key Learning Outcomes</w:t>
      </w:r>
    </w:p>
    <w:p w14:paraId="1664B88F" w14:textId="77777777" w:rsidR="0088207C" w:rsidRPr="0088207C" w:rsidRDefault="0088207C" w:rsidP="0088207C">
      <w:pPr>
        <w:spacing w:before="100" w:beforeAutospacing="1" w:after="100" w:afterAutospacing="1"/>
        <w:rPr>
          <w:sz w:val="22"/>
          <w:szCs w:val="22"/>
        </w:rPr>
      </w:pPr>
      <w:r w:rsidRPr="0088207C">
        <w:rPr>
          <w:sz w:val="22"/>
          <w:szCs w:val="22"/>
        </w:rPr>
        <w:t>Through this project, I gained an understanding of:</w:t>
      </w:r>
    </w:p>
    <w:p w14:paraId="3108F8AD"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Different types and classifications of ADRs</w:t>
      </w:r>
    </w:p>
    <w:p w14:paraId="4038DD90"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Mechanisms of drug-induced toxicity</w:t>
      </w:r>
    </w:p>
    <w:p w14:paraId="6098B98C"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Drug hypersensitivity and allergic reactions</w:t>
      </w:r>
    </w:p>
    <w:p w14:paraId="5E1320B3"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 xml:space="preserve">Factors involved in causality </w:t>
      </w:r>
      <w:proofErr w:type="gramStart"/>
      <w:r w:rsidRPr="0088207C">
        <w:rPr>
          <w:sz w:val="22"/>
          <w:szCs w:val="22"/>
        </w:rPr>
        <w:t>assessment</w:t>
      </w:r>
      <w:proofErr w:type="gramEnd"/>
    </w:p>
    <w:p w14:paraId="1EDA6200"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The importance of timely ADR reporting</w:t>
      </w:r>
    </w:p>
    <w:p w14:paraId="3AEE4DDA"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t>The role of pharmacovigilance in medicine safety</w:t>
      </w:r>
    </w:p>
    <w:p w14:paraId="632D7258" w14:textId="77777777" w:rsidR="0088207C" w:rsidRPr="0088207C" w:rsidRDefault="0088207C" w:rsidP="0088207C">
      <w:pPr>
        <w:numPr>
          <w:ilvl w:val="0"/>
          <w:numId w:val="3"/>
        </w:numPr>
        <w:spacing w:before="100" w:beforeAutospacing="1" w:after="100" w:afterAutospacing="1"/>
        <w:rPr>
          <w:sz w:val="22"/>
          <w:szCs w:val="22"/>
        </w:rPr>
      </w:pPr>
      <w:r w:rsidRPr="0088207C">
        <w:rPr>
          <w:sz w:val="22"/>
          <w:szCs w:val="22"/>
        </w:rPr>
        <w:lastRenderedPageBreak/>
        <w:t xml:space="preserve">The ADR reporting system under </w:t>
      </w:r>
      <w:proofErr w:type="spellStart"/>
      <w:r w:rsidRPr="0088207C">
        <w:rPr>
          <w:sz w:val="22"/>
          <w:szCs w:val="22"/>
        </w:rPr>
        <w:t>PvPI</w:t>
      </w:r>
      <w:proofErr w:type="spellEnd"/>
    </w:p>
    <w:p w14:paraId="6188851D" w14:textId="55D2B67D" w:rsidR="0088207C" w:rsidRPr="0088207C" w:rsidRDefault="0088207C" w:rsidP="0088207C">
      <w:pPr>
        <w:spacing w:before="100" w:beforeAutospacing="1" w:after="100" w:afterAutospacing="1"/>
        <w:outlineLvl w:val="1"/>
        <w:rPr>
          <w:b/>
          <w:bCs/>
          <w:sz w:val="36"/>
          <w:szCs w:val="36"/>
        </w:rPr>
      </w:pPr>
      <w:r w:rsidRPr="0088207C">
        <w:rPr>
          <w:b/>
          <w:bCs/>
          <w:sz w:val="36"/>
          <w:szCs w:val="36"/>
        </w:rPr>
        <w:t>Author</w:t>
      </w:r>
    </w:p>
    <w:p w14:paraId="4D679FFF" w14:textId="77777777" w:rsidR="0088207C" w:rsidRPr="0088207C" w:rsidRDefault="0088207C" w:rsidP="0088207C">
      <w:pPr>
        <w:spacing w:before="100" w:beforeAutospacing="1" w:after="100" w:afterAutospacing="1"/>
        <w:rPr>
          <w:sz w:val="24"/>
          <w:szCs w:val="24"/>
        </w:rPr>
      </w:pPr>
      <w:r w:rsidRPr="0088207C">
        <w:rPr>
          <w:b/>
          <w:bCs/>
          <w:sz w:val="24"/>
          <w:szCs w:val="24"/>
        </w:rPr>
        <w:t>Keshav Kumar Singh</w:t>
      </w:r>
      <w:r w:rsidRPr="0088207C">
        <w:rPr>
          <w:sz w:val="24"/>
          <w:szCs w:val="24"/>
        </w:rPr>
        <w:br/>
        <w:t xml:space="preserve">3rd Year </w:t>
      </w:r>
      <w:proofErr w:type="spellStart"/>
      <w:r w:rsidRPr="0088207C">
        <w:rPr>
          <w:sz w:val="24"/>
          <w:szCs w:val="24"/>
        </w:rPr>
        <w:t>B.Pharm</w:t>
      </w:r>
      <w:proofErr w:type="spellEnd"/>
      <w:r w:rsidRPr="0088207C">
        <w:rPr>
          <w:sz w:val="24"/>
          <w:szCs w:val="24"/>
        </w:rPr>
        <w:t xml:space="preserve"> Student</w:t>
      </w:r>
      <w:r w:rsidRPr="0088207C">
        <w:rPr>
          <w:sz w:val="24"/>
          <w:szCs w:val="24"/>
        </w:rPr>
        <w:br/>
        <w:t>VirtualWorks Internship</w:t>
      </w:r>
    </w:p>
    <w:p w14:paraId="6670614B" w14:textId="77777777" w:rsidR="0088207C" w:rsidRDefault="0088207C">
      <w:pPr>
        <w:spacing w:after="120" w:line="300" w:lineRule="auto"/>
      </w:pPr>
    </w:p>
    <w:sectPr w:rsidR="008820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23E0"/>
    <w:multiLevelType w:val="hybridMultilevel"/>
    <w:tmpl w:val="DEDADB10"/>
    <w:lvl w:ilvl="0" w:tplc="7564FBA2">
      <w:start w:val="1"/>
      <w:numFmt w:val="bullet"/>
      <w:lvlText w:val="●"/>
      <w:lvlJc w:val="left"/>
      <w:pPr>
        <w:ind w:left="720" w:hanging="360"/>
      </w:pPr>
    </w:lvl>
    <w:lvl w:ilvl="1" w:tplc="FE74599E">
      <w:start w:val="1"/>
      <w:numFmt w:val="bullet"/>
      <w:lvlText w:val="○"/>
      <w:lvlJc w:val="left"/>
      <w:pPr>
        <w:ind w:left="1440" w:hanging="360"/>
      </w:pPr>
    </w:lvl>
    <w:lvl w:ilvl="2" w:tplc="5B36A2DA">
      <w:start w:val="1"/>
      <w:numFmt w:val="bullet"/>
      <w:lvlText w:val="■"/>
      <w:lvlJc w:val="left"/>
      <w:pPr>
        <w:ind w:left="2160" w:hanging="360"/>
      </w:pPr>
    </w:lvl>
    <w:lvl w:ilvl="3" w:tplc="03402644">
      <w:start w:val="1"/>
      <w:numFmt w:val="bullet"/>
      <w:lvlText w:val="●"/>
      <w:lvlJc w:val="left"/>
      <w:pPr>
        <w:ind w:left="2880" w:hanging="360"/>
      </w:pPr>
    </w:lvl>
    <w:lvl w:ilvl="4" w:tplc="7EB2D708">
      <w:start w:val="1"/>
      <w:numFmt w:val="bullet"/>
      <w:lvlText w:val="○"/>
      <w:lvlJc w:val="left"/>
      <w:pPr>
        <w:ind w:left="3600" w:hanging="360"/>
      </w:pPr>
    </w:lvl>
    <w:lvl w:ilvl="5" w:tplc="DC7AC7AE">
      <w:start w:val="1"/>
      <w:numFmt w:val="bullet"/>
      <w:lvlText w:val="■"/>
      <w:lvlJc w:val="left"/>
      <w:pPr>
        <w:ind w:left="4320" w:hanging="360"/>
      </w:pPr>
    </w:lvl>
    <w:lvl w:ilvl="6" w:tplc="182E1AF8">
      <w:start w:val="1"/>
      <w:numFmt w:val="bullet"/>
      <w:lvlText w:val="●"/>
      <w:lvlJc w:val="left"/>
      <w:pPr>
        <w:ind w:left="5040" w:hanging="360"/>
      </w:pPr>
    </w:lvl>
    <w:lvl w:ilvl="7" w:tplc="185E205E">
      <w:start w:val="1"/>
      <w:numFmt w:val="bullet"/>
      <w:lvlText w:val="●"/>
      <w:lvlJc w:val="left"/>
      <w:pPr>
        <w:ind w:left="5760" w:hanging="360"/>
      </w:pPr>
    </w:lvl>
    <w:lvl w:ilvl="8" w:tplc="2CB8F924">
      <w:start w:val="1"/>
      <w:numFmt w:val="bullet"/>
      <w:lvlText w:val="●"/>
      <w:lvlJc w:val="left"/>
      <w:pPr>
        <w:ind w:left="6480" w:hanging="360"/>
      </w:pPr>
    </w:lvl>
  </w:abstractNum>
  <w:abstractNum w:abstractNumId="1" w15:restartNumberingAfterBreak="0">
    <w:nsid w:val="54922341"/>
    <w:multiLevelType w:val="hybridMultilevel"/>
    <w:tmpl w:val="79342A40"/>
    <w:lvl w:ilvl="0" w:tplc="45FC2D42">
      <w:start w:val="1"/>
      <w:numFmt w:val="bullet"/>
      <w:lvlText w:val="•"/>
      <w:lvlJc w:val="left"/>
      <w:pPr>
        <w:ind w:left="504" w:hanging="259"/>
      </w:pPr>
    </w:lvl>
    <w:lvl w:ilvl="1" w:tplc="B24A4620">
      <w:start w:val="1"/>
      <w:numFmt w:val="bullet"/>
      <w:lvlText w:val="◦"/>
      <w:lvlJc w:val="left"/>
      <w:pPr>
        <w:ind w:left="1008" w:hanging="259"/>
      </w:pPr>
    </w:lvl>
    <w:lvl w:ilvl="2" w:tplc="90AA62C4">
      <w:numFmt w:val="decimal"/>
      <w:lvlText w:val=""/>
      <w:lvlJc w:val="left"/>
    </w:lvl>
    <w:lvl w:ilvl="3" w:tplc="7974F45A">
      <w:numFmt w:val="decimal"/>
      <w:lvlText w:val=""/>
      <w:lvlJc w:val="left"/>
    </w:lvl>
    <w:lvl w:ilvl="4" w:tplc="A342C0D0">
      <w:numFmt w:val="decimal"/>
      <w:lvlText w:val=""/>
      <w:lvlJc w:val="left"/>
    </w:lvl>
    <w:lvl w:ilvl="5" w:tplc="A0DCC630">
      <w:numFmt w:val="decimal"/>
      <w:lvlText w:val=""/>
      <w:lvlJc w:val="left"/>
    </w:lvl>
    <w:lvl w:ilvl="6" w:tplc="D0A84464">
      <w:numFmt w:val="decimal"/>
      <w:lvlText w:val=""/>
      <w:lvlJc w:val="left"/>
    </w:lvl>
    <w:lvl w:ilvl="7" w:tplc="42762904">
      <w:numFmt w:val="decimal"/>
      <w:lvlText w:val=""/>
      <w:lvlJc w:val="left"/>
    </w:lvl>
    <w:lvl w:ilvl="8" w:tplc="F58C9EAC">
      <w:numFmt w:val="decimal"/>
      <w:lvlText w:val=""/>
      <w:lvlJc w:val="left"/>
    </w:lvl>
  </w:abstractNum>
  <w:abstractNum w:abstractNumId="2" w15:restartNumberingAfterBreak="0">
    <w:nsid w:val="59A14DA2"/>
    <w:multiLevelType w:val="multilevel"/>
    <w:tmpl w:val="1F26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35D41"/>
    <w:multiLevelType w:val="hybridMultilevel"/>
    <w:tmpl w:val="A78C1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4597413">
    <w:abstractNumId w:val="0"/>
    <w:lvlOverride w:ilvl="0">
      <w:startOverride w:val="1"/>
    </w:lvlOverride>
  </w:num>
  <w:num w:numId="2" w16cid:durableId="1065177855">
    <w:abstractNumId w:val="1"/>
    <w:lvlOverride w:ilvl="0">
      <w:startOverride w:val="1"/>
    </w:lvlOverride>
  </w:num>
  <w:num w:numId="3" w16cid:durableId="847400932">
    <w:abstractNumId w:val="2"/>
  </w:num>
  <w:num w:numId="4" w16cid:durableId="1278098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09"/>
    <w:rsid w:val="007116CB"/>
    <w:rsid w:val="007B4FD6"/>
    <w:rsid w:val="0088207C"/>
    <w:rsid w:val="009E5E09"/>
    <w:rsid w:val="00EF2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2AA2"/>
  <w15:docId w15:val="{F72DAD19-2470-4327-B4F1-8B18A68FC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63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1460</Words>
  <Characters>8326</Characters>
  <Application>Microsoft Office Word</Application>
  <DocSecurity>0</DocSecurity>
  <Lines>69</Lines>
  <Paragraphs>19</Paragraphs>
  <ScaleCrop>false</ScaleCrop>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919818224715</cp:lastModifiedBy>
  <cp:revision>4</cp:revision>
  <dcterms:created xsi:type="dcterms:W3CDTF">2026-09-27T09:30:00Z</dcterms:created>
  <dcterms:modified xsi:type="dcterms:W3CDTF">2026-09-27T09:44:00Z</dcterms:modified>
</cp:coreProperties>
</file>