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2530"/>
          <w:sz w:val="44"/>
        </w:rPr>
        <w:t>Krishna Defence System / Garuda AI</w:t>
      </w:r>
    </w:p>
    <w:p>
      <w:r>
        <w:rPr>
          <w:b/>
          <w:color w:val="E65100"/>
          <w:sz w:val="28"/>
        </w:rPr>
        <w:t>Technical Design &amp; Architecture Document</w:t>
        <w:br/>
      </w:r>
      <w:r>
        <w:rPr>
          <w:i/>
          <w:color w:val="646E78"/>
          <w:sz w:val="20"/>
        </w:rPr>
        <w:t>Hack for Social Cause 2026 | Theme: AI, GIS &amp; Emerging Technologies</w:t>
      </w:r>
    </w:p>
    <w:p>
      <w:pPr>
        <w:pStyle w:val="Heading2"/>
      </w:pPr>
      <w:r>
        <w:t>1. Executive Summary: World-Model Predictive Cyber Defence</w:t>
      </w:r>
    </w:p>
    <w:p>
      <w:r>
        <w:rPr>
          <w:b/>
        </w:rPr>
        <w:t>Learn the evolving network state, simulate multiple future states, explain the risk trajectory, and route evidence into controlled defensive action.</w:t>
        <w:br/>
        <w:br/>
      </w:r>
      <w:r>
        <w:t>Krishna Defence System is the complete platform. Garuda AI is its forecasting core. The separate Krishna Investigate lane handles unknown / unsupported evidence so the platform name and the triage function are not confused.</w:t>
      </w:r>
    </w:p>
    <w:p>
      <w:pPr>
        <w:pStyle w:val="Heading2"/>
      </w:pPr>
      <w:r>
        <w:t>2. End-to-End System Pipeline</w:t>
      </w:r>
    </w:p>
    <w:p>
      <w:r>
        <w:rPr>
          <w:rFonts w:ascii="Courier New" w:hAnsi="Courier New"/>
          <w:sz w:val="19"/>
        </w:rPr>
        <w:t>PCAP / Flow Telemetry  --&gt;  Feature Extraction (34 Metrics)  --&gt;  Graph State S_t</w:t>
        <w:br/>
        <w:t xml:space="preserve">  --&gt;  Spatial GNN (GraphSAGE)  --&gt;  Temporal LSTM Dynamics  --&gt;  Autoregressive Rollout (+10s, +20s, +30s, +40s)</w:t>
        <w:br/>
        <w:t xml:space="preserve">  --&gt;  MITRE Stage &amp; XAI Attribution  --&gt;  Controlled Response Routing (Arjuna / Krishna / Sudarshana)</w:t>
      </w:r>
    </w:p>
    <w:p>
      <w:pPr>
        <w:pStyle w:val="Heading2"/>
      </w:pPr>
      <w:r>
        <w:t>3. Subsystem Responsibilities &amp; Safety Boundaries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Subsystem</w:t>
            </w:r>
          </w:p>
        </w:tc>
        <w:tc>
          <w:tcPr>
            <w:tcW w:type="dxa" w:w="3312"/>
          </w:tcPr>
          <w:p>
            <w:r>
              <w:t>Responsibility</w:t>
            </w:r>
          </w:p>
        </w:tc>
        <w:tc>
          <w:tcPr>
            <w:tcW w:type="dxa" w:w="3312"/>
          </w:tcPr>
          <w:p>
            <w:r>
              <w:t>Output / Safety Boundary</w:t>
            </w:r>
          </w:p>
        </w:tc>
      </w:tr>
      <w:tr>
        <w:tc>
          <w:tcPr>
            <w:tcW w:type="dxa" w:w="3312"/>
          </w:tcPr>
          <w:p>
            <w:r>
              <w:t>Telemetry + Parser</w:t>
            </w:r>
          </w:p>
        </w:tc>
        <w:tc>
          <w:tcPr>
            <w:tcW w:type="dxa" w:w="3312"/>
          </w:tcPr>
          <w:p>
            <w:r>
              <w:t>Ingests PCAP/flow telemetry; normalizes timestamps and packet/flow evidence.</w:t>
            </w:r>
          </w:p>
        </w:tc>
        <w:tc>
          <w:tcPr>
            <w:tcW w:type="dxa" w:w="3312"/>
          </w:tcPr>
          <w:p>
            <w:r>
              <w:t>Unsupported formats or missing required evidence fail explicitly.</w:t>
            </w:r>
          </w:p>
        </w:tc>
      </w:tr>
      <w:tr>
        <w:tc>
          <w:tcPr>
            <w:tcW w:type="dxa" w:w="3312"/>
          </w:tcPr>
          <w:p>
            <w:r>
              <w:t>State / Graph Builder</w:t>
            </w:r>
          </w:p>
        </w:tc>
        <w:tc>
          <w:tcPr>
            <w:tcW w:type="dxa" w:w="3312"/>
          </w:tcPr>
          <w:p>
            <w:r>
              <w:t>Creates 10-second graph snapshots and ordered histories from service/host relations.</w:t>
            </w:r>
          </w:p>
        </w:tc>
        <w:tc>
          <w:tcPr>
            <w:tcW w:type="dxa" w:w="3312"/>
          </w:tcPr>
          <w:p>
            <w:r>
              <w:t>Sequence gaps break histories; future windows never enter observed context.</w:t>
            </w:r>
          </w:p>
        </w:tc>
      </w:tr>
      <w:tr>
        <w:tc>
          <w:tcPr>
            <w:tcW w:type="dxa" w:w="3312"/>
          </w:tcPr>
          <w:p>
            <w:r>
              <w:t>Garuda Core</w:t>
            </w:r>
          </w:p>
        </w:tc>
        <w:tc>
          <w:tcPr>
            <w:tcW w:type="dxa" w:w="3312"/>
          </w:tcPr>
          <w:p>
            <w:r>
              <w:t>GraphSAGE/GNN encodes relational state; LSTM learns temporal transition dynamics P(S_t+1 | S_t).</w:t>
            </w:r>
          </w:p>
        </w:tc>
        <w:tc>
          <w:tcPr>
            <w:tcW w:type="dxa" w:w="3312"/>
          </w:tcPr>
          <w:p>
            <w:r>
              <w:t>State forecasting remains separate from risk, stage and response claims.</w:t>
            </w:r>
          </w:p>
        </w:tc>
      </w:tr>
      <w:tr>
        <w:tc>
          <w:tcPr>
            <w:tcW w:type="dxa" w:w="3312"/>
          </w:tcPr>
          <w:p>
            <w:r>
              <w:t>Forward Simulation</w:t>
            </w:r>
          </w:p>
        </w:tc>
        <w:tc>
          <w:tcPr>
            <w:tcW w:type="dxa" w:w="3312"/>
          </w:tcPr>
          <w:p>
            <w:r>
              <w:t>Autoregressively rolls predicted state to +10 / +20 / +30 / +40 seconds forward.</w:t>
            </w:r>
          </w:p>
        </w:tc>
        <w:tc>
          <w:tcPr>
            <w:tcW w:type="dxa" w:w="3312"/>
          </w:tcPr>
          <w:p>
            <w:r>
              <w:t>Future state + uncertainty + risk evidence; not a guaranteed compromise path.</w:t>
            </w:r>
          </w:p>
        </w:tc>
      </w:tr>
      <w:tr>
        <w:tc>
          <w:tcPr>
            <w:tcW w:type="dxa" w:w="3312"/>
          </w:tcPr>
          <w:p>
            <w:r>
              <w:t>Interpretability / Stage</w:t>
            </w:r>
          </w:p>
        </w:tc>
        <w:tc>
          <w:tcPr>
            <w:tcW w:type="dxa" w:w="3312"/>
          </w:tcPr>
          <w:p>
            <w:r>
              <w:t>Ranks local feature drivers; MITRE-aligned stage is shown only when supervised support exists.</w:t>
            </w:r>
          </w:p>
        </w:tc>
        <w:tc>
          <w:tcPr>
            <w:tcW w:type="dxa" w:w="3312"/>
          </w:tcPr>
          <w:p>
            <w:r>
              <w:t>Unresolved / insufficient evidence is preferred to an invented stage.</w:t>
            </w:r>
          </w:p>
        </w:tc>
      </w:tr>
      <w:tr>
        <w:tc>
          <w:tcPr>
            <w:tcW w:type="dxa" w:w="3312"/>
          </w:tcPr>
          <w:p>
            <w:r>
              <w:t>Defence + Audit</w:t>
            </w:r>
          </w:p>
        </w:tc>
        <w:tc>
          <w:tcPr>
            <w:tcW w:type="dxa" w:w="3312"/>
          </w:tcPr>
          <w:p>
            <w:r>
              <w:t>Arjuna = reviewed known-response; Krishna Investigate = unknown triage; Sudarshana = authorized containment.</w:t>
            </w:r>
          </w:p>
        </w:tc>
        <w:tc>
          <w:tcPr>
            <w:tcW w:type="dxa" w:w="3312"/>
          </w:tcPr>
          <w:p>
            <w:r>
              <w:t>Human/policy gates, expiry, revoke/kill-switch and audit prevent blind auto-blocking.</w:t>
            </w:r>
          </w:p>
        </w:tc>
      </w:tr>
    </w:tbl>
    <w:p>
      <w:pPr>
        <w:pStyle w:val="Heading2"/>
      </w:pPr>
      <w:r>
        <w:t>4. Deployment, Feasibility &amp; Scale</w:t>
      </w:r>
    </w:p>
    <w:p>
      <w:r>
        <w:rPr>
          <w:b/>
        </w:rPr>
        <w:t xml:space="preserve">• Offline-First: </w:t>
      </w:r>
      <w:r>
        <w:t>Inference runs fully offline on local CPU hardware; zero external cloud or third-party API dependencies.</w:t>
        <w:br/>
      </w:r>
      <w:r>
        <w:rPr>
          <w:b/>
        </w:rPr>
        <w:t xml:space="preserve">• High Performance: </w:t>
      </w:r>
      <w:r>
        <w:t>Measured compatible CPU runtime is ~2.9 ms mean forecast latency (332-349 calls/sec) with ~45 MiB max RSS.</w:t>
        <w:br/>
      </w:r>
      <w:r>
        <w:rPr>
          <w:b/>
        </w:rPr>
        <w:t xml:space="preserve">• Fail-Closed Safety: </w:t>
      </w:r>
      <w:r>
        <w:t>Unrecognized or out-of-distribution telemetry defaults to advisory shadow mode rather than executing unauthorized containment.</w:t>
        <w:br/>
      </w:r>
      <w:r>
        <w:rPr>
          <w:b/>
        </w:rPr>
        <w:t xml:space="preserve">• Societal Impact: </w:t>
      </w:r>
      <w:r>
        <w:t>Provides democratized, state-of-the-art predictive protection to resource-constrained public utilities, educational institutions, and healthcare systems.</w:t>
      </w:r>
    </w:p>
    <w:p>
      <w:pPr>
        <w:pStyle w:val="Heading2"/>
      </w:pPr>
      <w:r>
        <w:t>5. Verified Experimental Results</w:t>
      </w:r>
    </w:p>
    <w:p>
      <w:r>
        <w:t>• CICAPT-IIoT2024: ~27.5% lower state MSE vs persistence baseline on Phase-2 forecasting across 3 fixed seeds.</w:t>
        <w:br/>
        <w:t>• UNSW-NB15: ~98.7% recall, ~0.29% false positive rate (FPR), ~94.8% F1 score under frozen same-input protocol.</w:t>
        <w:br/>
        <w:t>• Decision Support: Tiered response routing ensures reversible packet blocking (Arjuna), forensic triage (Krishna), and operator-signed quarantine (Sudarshana).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