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nb2-only-stepwise-count-models-2011-2021"/>
    <w:p>
      <w:pPr>
        <w:pStyle w:val="Heading1"/>
      </w:pPr>
      <w:r>
        <w:t xml:space="preserve">NB2-Only Stepwise Count Models, 2011-2021</w:t>
      </w:r>
    </w:p>
    <w:p>
      <w:pPr>
        <w:pStyle w:val="FirstParagraph"/>
      </w:pPr>
      <w:r>
        <w:rPr>
          <w:b/>
          <w:bCs/>
        </w:rPr>
        <w:t xml:space="preserve">This file is generated by</w:t>
      </w:r>
      <w:r>
        <w:rPr>
          <w:b/>
          <w:bCs/>
        </w:rPr>
        <w:t xml:space="preserve"> </w:t>
      </w:r>
      <w:r>
        <w:rPr>
          <w:rStyle w:val="VerbatimChar"/>
          <w:b/>
          <w:bCs/>
        </w:rPr>
        <w:t xml:space="preserve">scripts/report_nb2_stepwise.py</w:t>
      </w:r>
      <w:r>
        <w:rPr>
          <w:b/>
          <w:bCs/>
        </w:rPr>
        <w:t xml:space="preserve"> </w:t>
      </w:r>
      <w:r>
        <w:rPr>
          <w:b/>
          <w:bCs/>
        </w:rPr>
        <w:t xml:space="preserve">and is never hand-edited.</w:t>
      </w:r>
      <w:r>
        <w:t xml:space="preserve"> </w:t>
      </w:r>
      <w:r>
        <w:t xml:space="preserve">Re-run that script instead. Every number traces to one of three sources:</w:t>
      </w:r>
      <w:r>
        <w:t xml:space="preserve"> </w:t>
      </w:r>
      <w:r>
        <w:rPr>
          <w:rStyle w:val="VerbatimChar"/>
        </w:rPr>
        <w:t xml:space="preserve">data/generated/nb2_stepwise_results.json</w:t>
      </w:r>
      <w:r>
        <w:t xml:space="preserve"> </w:t>
      </w:r>
      <w:r>
        <w:t xml:space="preserve">(the six substantive fits, the RI series, the M1matched baseline, the COVID refits),</w:t>
      </w:r>
      <w:r>
        <w:t xml:space="preserve"> </w:t>
      </w:r>
      <w:r>
        <w:rPr>
          <w:rStyle w:val="VerbatimChar"/>
        </w:rPr>
        <w:t xml:space="preserve">nb2_stepwise_crosscheck.json</w:t>
      </w:r>
      <w:r>
        <w:t xml:space="preserve"> </w:t>
      </w:r>
      <w:r>
        <w:t xml:space="preserve">(the statsmodels cross-check), or – for the AIC-penalty comparison and the COVID-family comparison only – the frozen</w:t>
      </w:r>
      <w:r>
        <w:t xml:space="preserve"> </w:t>
      </w:r>
      <w:r>
        <w:rPr>
          <w:rStyle w:val="VerbatimChar"/>
        </w:rPr>
        <w:t xml:space="preserve">count_model_results.json</w:t>
      </w:r>
      <w:r>
        <w:t xml:space="preserve"> </w:t>
      </w:r>
      <w:r>
        <w:t xml:space="preserve">(the six-family ladder), opened read-only.</w:t>
      </w:r>
    </w:p>
    <w:p>
      <w:pPr>
        <w:pStyle w:val="BodyText"/>
      </w:pPr>
      <w:r>
        <w:t xml:space="preserve">Spec:</w:t>
      </w:r>
      <w:r>
        <w:t xml:space="preserve"> </w:t>
      </w:r>
      <w:r>
        <w:rPr>
          <w:rStyle w:val="VerbatimChar"/>
        </w:rPr>
        <w:t xml:space="preserve">docs/superpowers/specs/2026-08-28-nb2-stepwise-design.md</w:t>
      </w:r>
      <w:r>
        <w:t xml:space="preserve">.</w:t>
      </w:r>
    </w:p>
    <w:bookmarkStart w:id="20" w:name="what-this-is-and-what-it-is-not"/>
    <w:p>
      <w:pPr>
        <w:pStyle w:val="Heading2"/>
      </w:pPr>
      <w:r>
        <w:t xml:space="preserve">What this is, and what it is not</w:t>
      </w:r>
    </w:p>
    <w:p>
      <w:pPr>
        <w:pStyle w:val="FirstParagraph"/>
      </w:pPr>
      <w:r>
        <w:t xml:space="preserve">Six models: inspections M1-M3 and violations M1-M3 on the 2011-2021 WPS panel, all under</w:t>
      </w:r>
      <w:r>
        <w:t xml:space="preserve"> </w:t>
      </w:r>
      <w:r>
        <w:rPr>
          <w:rStyle w:val="VerbatimChar"/>
        </w:rPr>
        <w:t xml:space="preserve">nbinom2</w:t>
      </w:r>
      <w:r>
        <w:t xml:space="preserve">, all at</w:t>
      </w:r>
      <w:r>
        <w:t xml:space="preserve"> </w:t>
      </w:r>
      <w:r>
        <w:rPr>
          <w:rStyle w:val="VerbatimChar"/>
        </w:rPr>
        <w:t xml:space="preserve">(1 + time | state)</w:t>
      </w:r>
      <w:r>
        <w:t xml:space="preserve">. Model 1 is cubic time only; Model 2 adds commodity mix and spending (</w:t>
      </w:r>
      <w:r>
        <w:rPr>
          <w:rStyle w:val="VerbatimChar"/>
        </w:rPr>
        <w:t xml:space="preserve">lii_2017_z</w:t>
      </w:r>
      <w:r>
        <w:t xml:space="preserve">,</w:t>
      </w:r>
      <w:r>
        <w:t xml:space="preserve"> </w:t>
      </w:r>
      <w:r>
        <w:rPr>
          <w:rStyle w:val="VerbatimChar"/>
        </w:rPr>
        <w:t xml:space="preserve">SPEND_APP_z</w:t>
      </w:r>
      <w:r>
        <w:t xml:space="preserve">,</w:t>
      </w:r>
      <w:r>
        <w:t xml:space="preserve"> </w:t>
      </w:r>
      <w:r>
        <w:rPr>
          <w:rStyle w:val="VerbatimChar"/>
        </w:rPr>
        <w:t xml:space="preserve">SPEND_WORK_z</w:t>
      </w:r>
      <w:r>
        <w:t xml:space="preserve">); Model 3 adds the H-2A block (</w:t>
      </w:r>
      <w:r>
        <w:rPr>
          <w:rStyle w:val="VerbatimChar"/>
        </w:rPr>
        <w:t xml:space="preserve">h2a_per_farmworker_z</w:t>
      </w:r>
      <w:r>
        <w:t xml:space="preserve">,</w:t>
      </w:r>
      <w:r>
        <w:t xml:space="preserve"> </w:t>
      </w:r>
      <w:r>
        <w:rPr>
          <w:rStyle w:val="VerbatimChar"/>
        </w:rPr>
        <w:t xml:space="preserve">dol_demand_met_pct_z</w:t>
      </w:r>
      <w:r>
        <w:t xml:space="preserve">,</w:t>
      </w:r>
      <w:r>
        <w:t xml:space="preserve"> </w:t>
      </w:r>
      <w:r>
        <w:rPr>
          <w:rStyle w:val="VerbatimChar"/>
        </w:rPr>
        <w:t xml:space="preserve">pct_flc_z</w:t>
      </w:r>
      <w:r>
        <w:t xml:space="preserve">). The violations models carry</w:t>
      </w:r>
      <w:r>
        <w:t xml:space="preserve"> </w:t>
      </w:r>
      <w:r>
        <w:rPr>
          <w:rStyle w:val="VerbatimChar"/>
        </w:rPr>
        <w:t xml:space="preserve">log_inspections</w:t>
      </w:r>
      <w:r>
        <w:t xml:space="preserve"> </w:t>
      </w:r>
      <w:r>
        <w:t xml:space="preserve">as a Level-1 covariate, matching the published Table 3.</w:t>
      </w:r>
    </w:p>
    <w:p>
      <w:pPr>
        <w:pStyle w:val="BodyText"/>
      </w:pPr>
      <w:r>
        <w:rPr>
          <w:b/>
          <w:bCs/>
        </w:rPr>
        <w:t xml:space="preserve">Holding the family at NB2 is an editorial decision, not a fit-based one.</w:t>
      </w:r>
      <w:r>
        <w:t xml:space="preserve"> </w:t>
      </w:r>
      <w:r>
        <w:t xml:space="preserve">At this random-effects structure NB2 loses to the ladder’s selected family at every rung it was fit – Model 1, Model 2 and Model 3, for both outcomes: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Cell</w:t>
            </w:r>
          </w:p>
        </w:tc>
        <w:tc>
          <w:tcPr/>
          <w:p>
            <w:pPr>
              <w:pStyle w:val="Compact"/>
            </w:pPr>
            <w:r>
              <w:t xml:space="preserve">Model</w:t>
            </w:r>
          </w:p>
        </w:tc>
        <w:tc>
          <w:tcPr/>
          <w:p>
            <w:pPr>
              <w:pStyle w:val="Compact"/>
            </w:pPr>
            <w:r>
              <w:t xml:space="preserve">NB2 AIC</w:t>
            </w:r>
          </w:p>
        </w:tc>
        <w:tc>
          <w:tcPr/>
          <w:p>
            <w:pPr>
              <w:pStyle w:val="Compact"/>
            </w:pPr>
            <w:r>
              <w:t xml:space="preserve">Best available AIC</w:t>
            </w:r>
          </w:p>
        </w:tc>
        <w:tc>
          <w:tcPr/>
          <w:p>
            <w:pPr>
              <w:pStyle w:val="Compact"/>
            </w:pPr>
            <w:r>
              <w:t xml:space="preserve">Family</w:t>
            </w:r>
          </w:p>
        </w:tc>
        <w:tc>
          <w:tcPr/>
          <w:p>
            <w:pPr>
              <w:pStyle w:val="Compact"/>
            </w:pPr>
            <w:r>
              <w:t xml:space="preserve">NB2 penalty</w:t>
            </w:r>
          </w:p>
        </w:tc>
      </w:tr>
      <w:tr>
        <w:tc>
          <w:tcPr/>
          <w:p>
            <w:pPr>
              <w:pStyle w:val="Compact"/>
            </w:pPr>
            <w:r>
              <w:t xml:space="preserve">inspections</w:t>
            </w:r>
          </w:p>
        </w:tc>
        <w:tc>
          <w:tcPr/>
          <w:p>
            <w:pPr>
              <w:pStyle w:val="Compact"/>
            </w:pPr>
            <w:r>
              <w:t xml:space="preserve">M1</w:t>
            </w:r>
          </w:p>
        </w:tc>
        <w:tc>
          <w:tcPr/>
          <w:p>
            <w:pPr>
              <w:pStyle w:val="Compact"/>
            </w:pPr>
            <w:r>
              <w:t xml:space="preserve">4748.35</w:t>
            </w:r>
          </w:p>
        </w:tc>
        <w:tc>
          <w:tcPr/>
          <w:p>
            <w:pPr>
              <w:pStyle w:val="Compact"/>
            </w:pPr>
            <w:r>
              <w:t xml:space="preserve">4715.61</w:t>
            </w:r>
          </w:p>
        </w:tc>
        <w:tc>
          <w:tcPr/>
          <w:p>
            <w:pPr>
              <w:pStyle w:val="Compact"/>
            </w:pPr>
            <w:r>
              <w:t xml:space="preserve">ZINB</w:t>
            </w:r>
          </w:p>
        </w:tc>
        <w:tc>
          <w:tcPr/>
          <w:p>
            <w:pPr>
              <w:pStyle w:val="Compact"/>
            </w:pPr>
            <w:r>
              <w:t xml:space="preserve">+32.74</w:t>
            </w:r>
          </w:p>
        </w:tc>
      </w:tr>
      <w:tr>
        <w:tc>
          <w:tcPr/>
          <w:p>
            <w:pPr>
              <w:pStyle w:val="Compact"/>
            </w:pPr>
            <w:r>
              <w:t xml:space="preserve">inspections</w:t>
            </w:r>
          </w:p>
        </w:tc>
        <w:tc>
          <w:tcPr/>
          <w:p>
            <w:pPr>
              <w:pStyle w:val="Compact"/>
            </w:pPr>
            <w:r>
              <w:t xml:space="preserve">M2</w:t>
            </w:r>
          </w:p>
        </w:tc>
        <w:tc>
          <w:tcPr/>
          <w:p>
            <w:pPr>
              <w:pStyle w:val="Compact"/>
            </w:pPr>
            <w:r>
              <w:t xml:space="preserve">4562.64</w:t>
            </w:r>
          </w:p>
        </w:tc>
        <w:tc>
          <w:tcPr/>
          <w:p>
            <w:pPr>
              <w:pStyle w:val="Compact"/>
            </w:pPr>
            <w:r>
              <w:t xml:space="preserve">4529.06</w:t>
            </w:r>
          </w:p>
        </w:tc>
        <w:tc>
          <w:tcPr/>
          <w:p>
            <w:pPr>
              <w:pStyle w:val="Compact"/>
            </w:pPr>
            <w:r>
              <w:t xml:space="preserve">ZINB</w:t>
            </w:r>
          </w:p>
        </w:tc>
        <w:tc>
          <w:tcPr/>
          <w:p>
            <w:pPr>
              <w:pStyle w:val="Compact"/>
            </w:pPr>
            <w:r>
              <w:t xml:space="preserve">+33.58</w:t>
            </w:r>
          </w:p>
        </w:tc>
      </w:tr>
      <w:tr>
        <w:tc>
          <w:tcPr/>
          <w:p>
            <w:pPr>
              <w:pStyle w:val="Compact"/>
            </w:pPr>
            <w:r>
              <w:t xml:space="preserve">inspections</w:t>
            </w:r>
          </w:p>
        </w:tc>
        <w:tc>
          <w:tcPr/>
          <w:p>
            <w:pPr>
              <w:pStyle w:val="Compact"/>
            </w:pPr>
            <w:r>
              <w:t xml:space="preserve">M3</w:t>
            </w:r>
          </w:p>
        </w:tc>
        <w:tc>
          <w:tcPr/>
          <w:p>
            <w:pPr>
              <w:pStyle w:val="Compact"/>
            </w:pPr>
            <w:r>
              <w:t xml:space="preserve">4565.97</w:t>
            </w:r>
          </w:p>
        </w:tc>
        <w:tc>
          <w:tcPr/>
          <w:p>
            <w:pPr>
              <w:pStyle w:val="Compact"/>
            </w:pPr>
            <w:r>
              <w:t xml:space="preserve">4532.61</w:t>
            </w:r>
          </w:p>
        </w:tc>
        <w:tc>
          <w:tcPr/>
          <w:p>
            <w:pPr>
              <w:pStyle w:val="Compact"/>
            </w:pPr>
            <w:r>
              <w:t xml:space="preserve">ZINB</w:t>
            </w:r>
          </w:p>
        </w:tc>
        <w:tc>
          <w:tcPr/>
          <w:p>
            <w:pPr>
              <w:pStyle w:val="Compact"/>
            </w:pPr>
            <w:r>
              <w:t xml:space="preserve">+33.36</w:t>
            </w:r>
          </w:p>
        </w:tc>
      </w:tr>
      <w:tr>
        <w:tc>
          <w:tcPr/>
          <w:p>
            <w:pPr>
              <w:pStyle w:val="Compact"/>
            </w:pPr>
            <w:r>
              <w:t xml:space="preserve">violations</w:t>
            </w:r>
          </w:p>
        </w:tc>
        <w:tc>
          <w:tcPr/>
          <w:p>
            <w:pPr>
              <w:pStyle w:val="Compact"/>
            </w:pPr>
            <w:r>
              <w:t xml:space="preserve">M1</w:t>
            </w:r>
          </w:p>
        </w:tc>
        <w:tc>
          <w:tcPr/>
          <w:p>
            <w:pPr>
              <w:pStyle w:val="Compact"/>
            </w:pPr>
            <w:r>
              <w:t xml:space="preserve">3840.37</w:t>
            </w:r>
          </w:p>
        </w:tc>
        <w:tc>
          <w:tcPr/>
          <w:p>
            <w:pPr>
              <w:pStyle w:val="Compact"/>
            </w:pPr>
            <w:r>
              <w:t xml:space="preserve">3833.32</w:t>
            </w:r>
          </w:p>
        </w:tc>
        <w:tc>
          <w:tcPr/>
          <w:p>
            <w:pPr>
              <w:pStyle w:val="Compact"/>
            </w:pPr>
            <w:r>
              <w:t xml:space="preserve">NB1</w:t>
            </w:r>
          </w:p>
        </w:tc>
        <w:tc>
          <w:tcPr/>
          <w:p>
            <w:pPr>
              <w:pStyle w:val="Compact"/>
            </w:pPr>
            <w:r>
              <w:t xml:space="preserve">+7.06</w:t>
            </w:r>
          </w:p>
        </w:tc>
      </w:tr>
      <w:tr>
        <w:tc>
          <w:tcPr/>
          <w:p>
            <w:pPr>
              <w:pStyle w:val="Compact"/>
            </w:pPr>
            <w:r>
              <w:t xml:space="preserve">violations</w:t>
            </w:r>
          </w:p>
        </w:tc>
        <w:tc>
          <w:tcPr/>
          <w:p>
            <w:pPr>
              <w:pStyle w:val="Compact"/>
            </w:pPr>
            <w:r>
              <w:t xml:space="preserve">M2</w:t>
            </w:r>
          </w:p>
        </w:tc>
        <w:tc>
          <w:tcPr/>
          <w:p>
            <w:pPr>
              <w:pStyle w:val="Compact"/>
            </w:pPr>
            <w:r>
              <w:t xml:space="preserve">3644.20</w:t>
            </w:r>
          </w:p>
        </w:tc>
        <w:tc>
          <w:tcPr/>
          <w:p>
            <w:pPr>
              <w:pStyle w:val="Compact"/>
            </w:pPr>
            <w:r>
              <w:t xml:space="preserve">3630.47</w:t>
            </w:r>
          </w:p>
        </w:tc>
        <w:tc>
          <w:tcPr/>
          <w:p>
            <w:pPr>
              <w:pStyle w:val="Compact"/>
            </w:pPr>
            <w:r>
              <w:t xml:space="preserve">NB1</w:t>
            </w:r>
          </w:p>
        </w:tc>
        <w:tc>
          <w:tcPr/>
          <w:p>
            <w:pPr>
              <w:pStyle w:val="Compact"/>
            </w:pPr>
            <w:r>
              <w:t xml:space="preserve">+13.73</w:t>
            </w:r>
          </w:p>
        </w:tc>
      </w:tr>
      <w:tr>
        <w:tc>
          <w:tcPr/>
          <w:p>
            <w:pPr>
              <w:pStyle w:val="Compact"/>
            </w:pPr>
            <w:r>
              <w:t xml:space="preserve">violations</w:t>
            </w:r>
          </w:p>
        </w:tc>
        <w:tc>
          <w:tcPr/>
          <w:p>
            <w:pPr>
              <w:pStyle w:val="Compact"/>
            </w:pPr>
            <w:r>
              <w:t xml:space="preserve">M3</w:t>
            </w:r>
          </w:p>
        </w:tc>
        <w:tc>
          <w:tcPr/>
          <w:p>
            <w:pPr>
              <w:pStyle w:val="Compact"/>
            </w:pPr>
            <w:r>
              <w:t xml:space="preserve">3640.89</w:t>
            </w:r>
          </w:p>
        </w:tc>
        <w:tc>
          <w:tcPr/>
          <w:p>
            <w:pPr>
              <w:pStyle w:val="Compact"/>
            </w:pPr>
            <w:r>
              <w:t xml:space="preserve">3630.16</w:t>
            </w:r>
          </w:p>
        </w:tc>
        <w:tc>
          <w:tcPr/>
          <w:p>
            <w:pPr>
              <w:pStyle w:val="Compact"/>
            </w:pPr>
            <w:r>
              <w:t xml:space="preserve">NB1</w:t>
            </w:r>
          </w:p>
        </w:tc>
        <w:tc>
          <w:tcPr/>
          <w:p>
            <w:pPr>
              <w:pStyle w:val="Compact"/>
            </w:pPr>
            <w:r>
              <w:t xml:space="preserve">+10.74</w:t>
            </w:r>
          </w:p>
        </w:tc>
      </w:tr>
    </w:tbl>
    <w:p>
      <w:pPr>
        <w:pStyle w:val="BodyText"/>
      </w:pPr>
      <w:r>
        <w:t xml:space="preserve">That is 32.74-33.58 AIC against ZINB for inspections and 7.06-13.73 AIC against NB1 for violations – NB2 never wins a rung. What fixing the family buys is a table whose three columns are the same model class, so the between-state variance actually forms a reduction sequence instead of being three different models’ parameters.</w:t>
      </w:r>
    </w:p>
    <w:p>
      <w:pPr>
        <w:pStyle w:val="BodyText"/>
      </w:pPr>
      <w:r>
        <w:t xml:space="preserve">NB2 is nonetheless the least-bad</w:t>
      </w:r>
      <w:r>
        <w:t xml:space="preserve"> </w:t>
      </w:r>
      <w:r>
        <w:rPr>
          <w:b/>
          <w:bCs/>
        </w:rPr>
        <w:t xml:space="preserve">single</w:t>
      </w:r>
      <w:r>
        <w:t xml:space="preserve"> </w:t>
      </w:r>
      <w:r>
        <w:t xml:space="preserve">choice across both outcomes. The comparison that matters is against plain NB1, since that is the only family the ladder fits for both outcomes, and it runs in opposite directions:</w:t>
      </w:r>
    </w:p>
    <w:p>
      <w:pPr>
        <w:pStyle w:val="Compact"/>
        <w:numPr>
          <w:ilvl w:val="0"/>
          <w:numId w:val="1001"/>
        </w:numPr>
      </w:pPr>
      <w:r>
        <w:rPr>
          <w:b/>
          <w:bCs/>
        </w:rPr>
        <w:t xml:space="preserve">Inspections:</w:t>
      </w:r>
      <w:r>
        <w:t xml:space="preserve"> </w:t>
      </w:r>
      <w:r>
        <w:t xml:space="preserve">NB2 beats NB1 decisively – by +162.22 AIC at M1, +138.33 AIC at M3. (Inspections only has an NB1 entry at M1/M3 (no M2), because ZINB, not NB1, is its selected family there.)</w:t>
      </w:r>
    </w:p>
    <w:p>
      <w:pPr>
        <w:pStyle w:val="Compact"/>
        <w:numPr>
          <w:ilvl w:val="0"/>
          <w:numId w:val="1001"/>
        </w:numPr>
      </w:pPr>
      <w:r>
        <w:rPr>
          <w:b/>
          <w:bCs/>
        </w:rPr>
        <w:t xml:space="preserve">Violations:</w:t>
      </w:r>
      <w:r>
        <w:t xml:space="preserve"> </w:t>
      </w:r>
      <w:r>
        <w:t xml:space="preserve">NB2 costs +7.06 AIC at M1, +13.73 AIC at M2, +10.74 AIC at M3 against NB1. (Unlike inspections, the ladder fits an NB1 at every model for violations too, because NB1 is precisely violations’ own selected family. That cost is the same number as the penalty-table row above, because NB1 is what the penalty is measured against for this outcome – not a gap in coverage.)</w:t>
      </w:r>
    </w:p>
    <w:p>
      <w:pPr>
        <w:pStyle w:val="FirstParagraph"/>
      </w:pPr>
      <w:r>
        <w:t xml:space="preserve">So one family has to lose somewhere, and NB2 loses least: it gives up single-digit-to-low-double-digit AIC on violations to gain more than a hundred on inspections.</w:t>
      </w:r>
    </w:p>
    <w:p>
      <w:pPr>
        <w:pStyle w:val="BodyText"/>
      </w:pPr>
      <w:r>
        <w:t xml:space="preserve">The family-selection evidence, including the zero-inflation comparisons, lives in</w:t>
      </w:r>
      <w:r>
        <w:t xml:space="preserve"> </w:t>
      </w:r>
      <w:r>
        <w:rPr>
          <w:rStyle w:val="VerbatimChar"/>
        </w:rPr>
        <w:t xml:space="preserve">docs/count_models_zinb.md</w:t>
      </w:r>
      <w:r>
        <w:t xml:space="preserve"> </w:t>
      </w:r>
      <w:r>
        <w:t xml:space="preserve">and is untouched by this arm. Nothing here re-tests zero-inflation.</w:t>
      </w:r>
    </w:p>
    <w:bookmarkEnd w:id="20"/>
    <w:bookmarkStart w:id="23" w:name="variance-components"/>
    <w:p>
      <w:pPr>
        <w:pStyle w:val="Heading2"/>
      </w:pPr>
      <w:r>
        <w:t xml:space="preserve">Variance components</w:t>
      </w:r>
    </w:p>
    <w:p>
      <w:pPr>
        <w:pStyle w:val="FirstParagraph"/>
      </w:pPr>
      <w:r>
        <w:rPr>
          <w:b/>
          <w:bCs/>
        </w:rPr>
        <w:t xml:space="preserve">Two bases in one table, labelled per column.</w:t>
      </w:r>
      <w:r>
        <w:t xml:space="preserve"> </w:t>
      </w:r>
      <w:r>
        <w:t xml:space="preserve">The</w:t>
      </w:r>
      <w:r>
        <w:t xml:space="preserve"> </w:t>
      </w:r>
      <w:r>
        <w:rPr>
          <w:rStyle w:val="VerbatimChar"/>
        </w:rPr>
        <w:t xml:space="preserve">*_rs</w:t>
      </w:r>
      <w:r>
        <w:t xml:space="preserve"> </w:t>
      </w:r>
      <w:r>
        <w:t xml:space="preserve">columns come from the random-slope fits the coefficients come from. Everything else – theta, ICC, and both reductions – comes from a parallel</w:t>
      </w:r>
      <w:r>
        <w:t xml:space="preserve"> </w:t>
      </w:r>
      <w:r>
        <w:rPr>
          <w:rStyle w:val="VerbatimChar"/>
        </w:rPr>
        <w:t xml:space="preserve">(1 | state)</w:t>
      </w:r>
      <w:r>
        <w:t xml:space="preserve"> </w:t>
      </w:r>
      <w:r>
        <w:t xml:space="preserve">refit series on the same rows. That split is deliberate: under a random slope, sigma^2_u0 is the between-state variance</w:t>
      </w:r>
      <w:r>
        <w:t xml:space="preserve"> </w:t>
      </w:r>
      <w:r>
        <w:rPr>
          <w:i/>
          <w:iCs/>
        </w:rPr>
        <w:t xml:space="preserve">at the 2017 centering year</w:t>
      </w:r>
      <w:r>
        <w:t xml:space="preserve"> </w:t>
      </w:r>
      <w:r>
        <w:t xml:space="preserve">and trades off against sigma^2_u1, so its reduction is not bounded to [0, 1] and can go negative. That is not hypothetical – it produced a -12.5% figure in the log-LMM violations table.</w:t>
      </w:r>
    </w:p>
    <w:p>
      <w:pPr>
        <w:pStyle w:val="BodyText"/>
      </w:pPr>
      <w:r>
        <w:t xml:space="preserve">All of these are on the log link scale. Their magnitudes are not comparable to the sigma^2_u0 values in published Tables 2 and 3, though a percentage reduction is.</w:t>
      </w:r>
    </w:p>
    <w:p>
      <w:pPr>
        <w:pStyle w:val="BodyText"/>
      </w:pPr>
      <w:r>
        <w:t xml:space="preserve">There is no residual-variance column. A count family has none; theta is the NB2 size parameter in</w:t>
      </w:r>
      <w:r>
        <w:t xml:space="preserve"> </w:t>
      </w:r>
      <w:r>
        <w:rPr>
          <w:rStyle w:val="VerbatimChar"/>
        </w:rPr>
        <w:t xml:space="preserve">Var = mu + mu^2/theta</w:t>
      </w:r>
      <w:r>
        <w:t xml:space="preserve">, and its square is not a variance component.</w:t>
      </w:r>
    </w:p>
    <w:p>
      <w:pPr>
        <w:pStyle w:val="BodyText"/>
      </w:pPr>
      <w:r>
        <w:t xml:space="preserve">ICC uses Nakagawa’s observation-level variance for a log-link NB2,</w:t>
      </w:r>
      <w:r>
        <w:t xml:space="preserve"> </w:t>
      </w:r>
      <w:r>
        <w:rPr>
          <w:rStyle w:val="VerbatimChar"/>
        </w:rPr>
        <w:t xml:space="preserve">sigma^2_u0 / (sigma^2_u0 + ln(1 + 1/theta + 1/mu))</w:t>
      </w:r>
      <w:r>
        <w:t xml:space="preserve">, with mu the exponentiated mean of the fixed-effects linear predictor. It is a link-scale approximation and is</w:t>
      </w:r>
      <w:r>
        <w:t xml:space="preserve"> </w:t>
      </w:r>
      <w:r>
        <w:rPr>
          <w:b/>
          <w:bCs/>
        </w:rPr>
        <w:t xml:space="preserve">not</w:t>
      </w:r>
      <w:r>
        <w:t xml:space="preserve"> </w:t>
      </w:r>
      <w:r>
        <w:t xml:space="preserve">the project’s headline</w:t>
      </w:r>
      <w:r>
        <w:t xml:space="preserve"> </w:t>
      </w:r>
      <w:r>
        <w:t xml:space="preserve">“ICC ~77%”</w:t>
      </w:r>
      <w:r>
        <w:t xml:space="preserve">, which comes from a Gaussian LMM on</w:t>
      </w:r>
      <w:r>
        <w:t xml:space="preserve"> </w:t>
      </w:r>
      <w:r>
        <w:rPr>
          <w:rStyle w:val="VerbatimChar"/>
        </w:rPr>
        <w:t xml:space="preserve">log(count + 1)</w:t>
      </w:r>
      <w:r>
        <w:t xml:space="preserve">.</w:t>
      </w:r>
    </w:p>
    <w:p>
      <w:pPr>
        <w:pStyle w:val="BodyText"/>
      </w:pPr>
      <w:r>
        <w:rPr>
          <w:b/>
          <w:bCs/>
        </w:rPr>
        <w:t xml:space="preserve">The reported ICC is on the random-intercept basis, not the random-slope basis the coefficients come from.</w:t>
      </w:r>
      <w:r>
        <w:t xml:space="preserve"> </w:t>
      </w:r>
      <w:r>
        <w:t xml:space="preserve">inspections M1 is 0.822 on the RI basis versus 0.862 on the RS basis; violations M1 is 0.659 on the RI basis versus 0.781 on the RS basis – the two are not the same quantity, because sigma^2_u0, theta and mu all differ between the RI and RS fits. Read the ICC column as describing the RI series alongside it, not the random-slope models whose coefficients follow in the next section.</w:t>
      </w:r>
    </w:p>
    <w:bookmarkStart w:id="21" w:name="inspections-insp_2021"/>
    <w:p>
      <w:pPr>
        <w:pStyle w:val="Heading3"/>
      </w:pPr>
      <w:r>
        <w:t xml:space="preserve">inspections (insp_2021)</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Model</w:t>
            </w:r>
          </w:p>
        </w:tc>
        <w:tc>
          <w:tcPr/>
          <w:p>
            <w:pPr>
              <w:pStyle w:val="Compact"/>
            </w:pPr>
            <w:r>
              <w:t xml:space="preserve">sigma^2_u0 (rs)</w:t>
            </w:r>
          </w:p>
        </w:tc>
        <w:tc>
          <w:tcPr/>
          <w:p>
            <w:pPr>
              <w:pStyle w:val="Compact"/>
            </w:pPr>
            <w:r>
              <w:t xml:space="preserve">sigma^2_u1 (rs)</w:t>
            </w:r>
          </w:p>
        </w:tc>
        <w:tc>
          <w:tcPr/>
          <w:p>
            <w:pPr>
              <w:pStyle w:val="Compact"/>
            </w:pPr>
            <w:r>
              <w:t xml:space="preserve">sigma_u01 (rs)</w:t>
            </w:r>
          </w:p>
        </w:tc>
        <w:tc>
          <w:tcPr/>
          <w:p>
            <w:pPr>
              <w:pStyle w:val="Compact"/>
            </w:pPr>
            <w:r>
              <w:t xml:space="preserve">AIC (rs)</w:t>
            </w:r>
          </w:p>
        </w:tc>
        <w:tc>
          <w:tcPr/>
          <w:p>
            <w:pPr>
              <w:pStyle w:val="Compact"/>
            </w:pPr>
            <w:r>
              <w:t xml:space="preserve">theta (ri)</w:t>
            </w:r>
          </w:p>
        </w:tc>
        <w:tc>
          <w:tcPr/>
          <w:p>
            <w:pPr>
              <w:pStyle w:val="Compact"/>
            </w:pPr>
            <w:r>
              <w:t xml:space="preserve">sigma^2_u0 (ri)</w:t>
            </w:r>
          </w:p>
        </w:tc>
        <w:tc>
          <w:tcPr/>
          <w:p>
            <w:pPr>
              <w:pStyle w:val="Compact"/>
            </w:pPr>
            <w:r>
              <w:t xml:space="preserve">ICC (ri)</w:t>
            </w:r>
          </w:p>
        </w:tc>
        <w:tc>
          <w:tcPr/>
          <w:p>
            <w:pPr>
              <w:pStyle w:val="Compact"/>
            </w:pPr>
            <w:r>
              <w:t xml:space="preserve">Delta sigma^2_u0 %</w:t>
            </w:r>
          </w:p>
        </w:tc>
        <w:tc>
          <w:tcPr/>
          <w:p>
            <w:pPr>
              <w:pStyle w:val="Compact"/>
            </w:pPr>
            <w:r>
              <w:t xml:space="preserve">Delta % matched</w:t>
            </w:r>
          </w:p>
        </w:tc>
        <w:tc>
          <w:tcPr/>
          <w:p>
            <w:pPr>
              <w:pStyle w:val="Compact"/>
            </w:pPr>
            <w:r>
              <w:t xml:space="preserve">N obs</w:t>
            </w:r>
          </w:p>
        </w:tc>
        <w:tc>
          <w:tcPr/>
          <w:p>
            <w:pPr>
              <w:pStyle w:val="Compact"/>
            </w:pPr>
            <w:r>
              <w:t xml:space="preserve">States</w:t>
            </w:r>
          </w:p>
        </w:tc>
      </w:tr>
      <w:tr>
        <w:tc>
          <w:tcPr/>
          <w:p>
            <w:pPr>
              <w:pStyle w:val="Compact"/>
            </w:pPr>
            <w:r>
              <w:t xml:space="preserve">M1</w:t>
            </w:r>
          </w:p>
        </w:tc>
        <w:tc>
          <w:tcPr/>
          <w:p>
            <w:pPr>
              <w:pStyle w:val="Compact"/>
            </w:pPr>
            <w:r>
              <w:t xml:space="preserve">1.1609</w:t>
            </w:r>
          </w:p>
        </w:tc>
        <w:tc>
          <w:tcPr/>
          <w:p>
            <w:pPr>
              <w:pStyle w:val="Compact"/>
            </w:pPr>
            <w:r>
              <w:t xml:space="preserve">0.00602</w:t>
            </w:r>
          </w:p>
        </w:tc>
        <w:tc>
          <w:tcPr/>
          <w:p>
            <w:pPr>
              <w:pStyle w:val="Compact"/>
            </w:pPr>
            <w:r>
              <w:t xml:space="preserve">0.03075</w:t>
            </w:r>
          </w:p>
        </w:tc>
        <w:tc>
          <w:tcPr/>
          <w:p>
            <w:pPr>
              <w:pStyle w:val="Compact"/>
            </w:pPr>
            <w:r>
              <w:t xml:space="preserve">4748.35</w:t>
            </w:r>
          </w:p>
        </w:tc>
        <w:tc>
          <w:tcPr/>
          <w:p>
            <w:pPr>
              <w:pStyle w:val="Compact"/>
            </w:pPr>
            <w:r>
              <w:t xml:space="preserve">4.1094</w:t>
            </w:r>
          </w:p>
        </w:tc>
        <w:tc>
          <w:tcPr/>
          <w:p>
            <w:pPr>
              <w:pStyle w:val="Compact"/>
            </w:pPr>
            <w:r>
              <w:t xml:space="preserve">1.1069</w:t>
            </w:r>
          </w:p>
        </w:tc>
        <w:tc>
          <w:tcPr/>
          <w:p>
            <w:pPr>
              <w:pStyle w:val="Compact"/>
            </w:pPr>
            <w:r>
              <w:t xml:space="preserve">0.822</w:t>
            </w:r>
          </w:p>
        </w:tc>
        <w:tc>
          <w:tcPr/>
          <w:p>
            <w:pPr>
              <w:pStyle w:val="Compact"/>
            </w:pPr>
            <w:r>
              <w:t xml:space="preserve">+0.0</w:t>
            </w:r>
          </w:p>
        </w:tc>
        <w:tc>
          <w:tcPr/>
          <w:p>
            <w:pPr>
              <w:pStyle w:val="Compact"/>
            </w:pPr>
            <w:r>
              <w:t xml:space="preserve">-13.3</w:t>
            </w:r>
          </w:p>
        </w:tc>
        <w:tc>
          <w:tcPr/>
          <w:p>
            <w:pPr>
              <w:pStyle w:val="Compact"/>
            </w:pPr>
            <w:r>
              <w:t xml:space="preserve">539</w:t>
            </w:r>
          </w:p>
        </w:tc>
        <w:tc>
          <w:tcPr/>
          <w:p>
            <w:pPr>
              <w:pStyle w:val="Compact"/>
            </w:pPr>
            <w:r>
              <w:t xml:space="preserve">49</w:t>
            </w:r>
          </w:p>
        </w:tc>
      </w:tr>
      <w:tr>
        <w:tc>
          <w:tcPr/>
          <w:p>
            <w:pPr>
              <w:pStyle w:val="Compact"/>
            </w:pPr>
            <w:r>
              <w:t xml:space="preserve">M2</w:t>
            </w:r>
          </w:p>
        </w:tc>
        <w:tc>
          <w:tcPr/>
          <w:p>
            <w:pPr>
              <w:pStyle w:val="Compact"/>
            </w:pPr>
            <w:r>
              <w:t xml:space="preserve">1.0159</w:t>
            </w:r>
          </w:p>
        </w:tc>
        <w:tc>
          <w:tcPr/>
          <w:p>
            <w:pPr>
              <w:pStyle w:val="Compact"/>
            </w:pPr>
            <w:r>
              <w:t xml:space="preserve">0.00600</w:t>
            </w:r>
          </w:p>
        </w:tc>
        <w:tc>
          <w:tcPr/>
          <w:p>
            <w:pPr>
              <w:pStyle w:val="Compact"/>
            </w:pPr>
            <w:r>
              <w:t xml:space="preserve">0.02976</w:t>
            </w:r>
          </w:p>
        </w:tc>
        <w:tc>
          <w:tcPr/>
          <w:p>
            <w:pPr>
              <w:pStyle w:val="Compact"/>
            </w:pPr>
            <w:r>
              <w:t xml:space="preserve">4562.64</w:t>
            </w:r>
          </w:p>
        </w:tc>
        <w:tc>
          <w:tcPr/>
          <w:p>
            <w:pPr>
              <w:pStyle w:val="Compact"/>
            </w:pPr>
            <w:r>
              <w:t xml:space="preserve">4.0903</w:t>
            </w:r>
          </w:p>
        </w:tc>
        <w:tc>
          <w:tcPr/>
          <w:p>
            <w:pPr>
              <w:pStyle w:val="Compact"/>
            </w:pPr>
            <w:r>
              <w:t xml:space="preserve">0.9389</w:t>
            </w:r>
          </w:p>
        </w:tc>
        <w:tc>
          <w:tcPr/>
          <w:p>
            <w:pPr>
              <w:pStyle w:val="Compact"/>
            </w:pPr>
            <w:r>
              <w:t xml:space="preserve">0.797</w:t>
            </w:r>
          </w:p>
        </w:tc>
        <w:tc>
          <w:tcPr/>
          <w:p>
            <w:pPr>
              <w:pStyle w:val="Compact"/>
            </w:pPr>
            <w:r>
              <w:t xml:space="preserve">+15.2</w:t>
            </w:r>
          </w:p>
        </w:tc>
        <w:tc>
          <w:tcPr/>
          <w:p>
            <w:pPr>
              <w:pStyle w:val="Compact"/>
            </w:pPr>
            <w:r>
              <w:t xml:space="preserve">+3.9</w:t>
            </w:r>
          </w:p>
        </w:tc>
        <w:tc>
          <w:tcPr/>
          <w:p>
            <w:pPr>
              <w:pStyle w:val="Compact"/>
            </w:pPr>
            <w:r>
              <w:t xml:space="preserve">506</w:t>
            </w:r>
          </w:p>
        </w:tc>
        <w:tc>
          <w:tcPr/>
          <w:p>
            <w:pPr>
              <w:pStyle w:val="Compact"/>
            </w:pPr>
            <w:r>
              <w:t xml:space="preserve">46</w:t>
            </w:r>
          </w:p>
        </w:tc>
      </w:tr>
      <w:tr>
        <w:tc>
          <w:tcPr/>
          <w:p>
            <w:pPr>
              <w:pStyle w:val="Compact"/>
            </w:pPr>
            <w:r>
              <w:t xml:space="preserve">M3</w:t>
            </w:r>
          </w:p>
        </w:tc>
        <w:tc>
          <w:tcPr/>
          <w:p>
            <w:pPr>
              <w:pStyle w:val="Compact"/>
            </w:pPr>
            <w:r>
              <w:t xml:space="preserve">0.9894</w:t>
            </w:r>
          </w:p>
        </w:tc>
        <w:tc>
          <w:tcPr/>
          <w:p>
            <w:pPr>
              <w:pStyle w:val="Compact"/>
            </w:pPr>
            <w:r>
              <w:t xml:space="preserve">0.00583</w:t>
            </w:r>
          </w:p>
        </w:tc>
        <w:tc>
          <w:tcPr/>
          <w:p>
            <w:pPr>
              <w:pStyle w:val="Compact"/>
            </w:pPr>
            <w:r>
              <w:t xml:space="preserve">0.02627</w:t>
            </w:r>
          </w:p>
        </w:tc>
        <w:tc>
          <w:tcPr/>
          <w:p>
            <w:pPr>
              <w:pStyle w:val="Compact"/>
            </w:pPr>
            <w:r>
              <w:t xml:space="preserve">4565.97</w:t>
            </w:r>
          </w:p>
        </w:tc>
        <w:tc>
          <w:tcPr/>
          <w:p>
            <w:pPr>
              <w:pStyle w:val="Compact"/>
            </w:pPr>
            <w:r>
              <w:t xml:space="preserve">4.1568</w:t>
            </w:r>
          </w:p>
        </w:tc>
        <w:tc>
          <w:tcPr/>
          <w:p>
            <w:pPr>
              <w:pStyle w:val="Compact"/>
            </w:pPr>
            <w:r>
              <w:t xml:space="preserve">0.9266</w:t>
            </w:r>
          </w:p>
        </w:tc>
        <w:tc>
          <w:tcPr/>
          <w:p>
            <w:pPr>
              <w:pStyle w:val="Compact"/>
            </w:pPr>
            <w:r>
              <w:t xml:space="preserve">0.797</w:t>
            </w:r>
          </w:p>
        </w:tc>
        <w:tc>
          <w:tcPr/>
          <w:p>
            <w:pPr>
              <w:pStyle w:val="Compact"/>
            </w:pPr>
            <w:r>
              <w:t xml:space="preserve">+16.3</w:t>
            </w:r>
          </w:p>
        </w:tc>
        <w:tc>
          <w:tcPr/>
          <w:p>
            <w:pPr>
              <w:pStyle w:val="Compact"/>
            </w:pPr>
            <w:r>
              <w:t xml:space="preserve">+5.1</w:t>
            </w:r>
          </w:p>
        </w:tc>
        <w:tc>
          <w:tcPr/>
          <w:p>
            <w:pPr>
              <w:pStyle w:val="Compact"/>
            </w:pPr>
            <w:r>
              <w:t xml:space="preserve">506</w:t>
            </w:r>
          </w:p>
        </w:tc>
        <w:tc>
          <w:tcPr/>
          <w:p>
            <w:pPr>
              <w:pStyle w:val="Compact"/>
            </w:pPr>
            <w:r>
              <w:t xml:space="preserve">46</w:t>
            </w:r>
          </w:p>
        </w:tc>
      </w:tr>
    </w:tbl>
    <w:bookmarkEnd w:id="21"/>
    <w:bookmarkStart w:id="22" w:name="violations-viol_cov_2021"/>
    <w:p>
      <w:pPr>
        <w:pStyle w:val="Heading3"/>
      </w:pPr>
      <w:r>
        <w:t xml:space="preserve">violations (viol_cov_2021)</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Model</w:t>
            </w:r>
          </w:p>
        </w:tc>
        <w:tc>
          <w:tcPr/>
          <w:p>
            <w:pPr>
              <w:pStyle w:val="Compact"/>
            </w:pPr>
            <w:r>
              <w:t xml:space="preserve">sigma^2_u0 (rs)</w:t>
            </w:r>
          </w:p>
        </w:tc>
        <w:tc>
          <w:tcPr/>
          <w:p>
            <w:pPr>
              <w:pStyle w:val="Compact"/>
            </w:pPr>
            <w:r>
              <w:t xml:space="preserve">sigma^2_u1 (rs)</w:t>
            </w:r>
          </w:p>
        </w:tc>
        <w:tc>
          <w:tcPr/>
          <w:p>
            <w:pPr>
              <w:pStyle w:val="Compact"/>
            </w:pPr>
            <w:r>
              <w:t xml:space="preserve">sigma_u01 (rs)</w:t>
            </w:r>
          </w:p>
        </w:tc>
        <w:tc>
          <w:tcPr/>
          <w:p>
            <w:pPr>
              <w:pStyle w:val="Compact"/>
            </w:pPr>
            <w:r>
              <w:t xml:space="preserve">AIC (rs)</w:t>
            </w:r>
          </w:p>
        </w:tc>
        <w:tc>
          <w:tcPr/>
          <w:p>
            <w:pPr>
              <w:pStyle w:val="Compact"/>
            </w:pPr>
            <w:r>
              <w:t xml:space="preserve">theta (ri)</w:t>
            </w:r>
          </w:p>
        </w:tc>
        <w:tc>
          <w:tcPr/>
          <w:p>
            <w:pPr>
              <w:pStyle w:val="Compact"/>
            </w:pPr>
            <w:r>
              <w:t xml:space="preserve">sigma^2_u0 (ri)</w:t>
            </w:r>
          </w:p>
        </w:tc>
        <w:tc>
          <w:tcPr/>
          <w:p>
            <w:pPr>
              <w:pStyle w:val="Compact"/>
            </w:pPr>
            <w:r>
              <w:t xml:space="preserve">ICC (ri)</w:t>
            </w:r>
          </w:p>
        </w:tc>
        <w:tc>
          <w:tcPr/>
          <w:p>
            <w:pPr>
              <w:pStyle w:val="Compact"/>
            </w:pPr>
            <w:r>
              <w:t xml:space="preserve">Delta sigma^2_u0 %</w:t>
            </w:r>
          </w:p>
        </w:tc>
        <w:tc>
          <w:tcPr/>
          <w:p>
            <w:pPr>
              <w:pStyle w:val="Compact"/>
            </w:pPr>
            <w:r>
              <w:t xml:space="preserve">Delta % matched</w:t>
            </w:r>
          </w:p>
        </w:tc>
        <w:tc>
          <w:tcPr/>
          <w:p>
            <w:pPr>
              <w:pStyle w:val="Compact"/>
            </w:pPr>
            <w:r>
              <w:t xml:space="preserve">N obs</w:t>
            </w:r>
          </w:p>
        </w:tc>
        <w:tc>
          <w:tcPr/>
          <w:p>
            <w:pPr>
              <w:pStyle w:val="Compact"/>
            </w:pPr>
            <w:r>
              <w:t xml:space="preserve">States</w:t>
            </w:r>
          </w:p>
        </w:tc>
      </w:tr>
      <w:tr>
        <w:tc>
          <w:tcPr/>
          <w:p>
            <w:pPr>
              <w:pStyle w:val="Compact"/>
            </w:pPr>
            <w:r>
              <w:t xml:space="preserve">M1</w:t>
            </w:r>
          </w:p>
        </w:tc>
        <w:tc>
          <w:tcPr/>
          <w:p>
            <w:pPr>
              <w:pStyle w:val="Compact"/>
            </w:pPr>
            <w:r>
              <w:t xml:space="preserve">1.5803</w:t>
            </w:r>
          </w:p>
        </w:tc>
        <w:tc>
          <w:tcPr/>
          <w:p>
            <w:pPr>
              <w:pStyle w:val="Compact"/>
            </w:pPr>
            <w:r>
              <w:t xml:space="preserve">0.02991</w:t>
            </w:r>
          </w:p>
        </w:tc>
        <w:tc>
          <w:tcPr/>
          <w:p>
            <w:pPr>
              <w:pStyle w:val="Compact"/>
            </w:pPr>
            <w:r>
              <w:t xml:space="preserve">0.12418</w:t>
            </w:r>
          </w:p>
        </w:tc>
        <w:tc>
          <w:tcPr/>
          <w:p>
            <w:pPr>
              <w:pStyle w:val="Compact"/>
            </w:pPr>
            <w:r>
              <w:t xml:space="preserve">3840.37</w:t>
            </w:r>
          </w:p>
        </w:tc>
        <w:tc>
          <w:tcPr/>
          <w:p>
            <w:pPr>
              <w:pStyle w:val="Compact"/>
            </w:pPr>
            <w:r>
              <w:t xml:space="preserve">1.4936</w:t>
            </w:r>
          </w:p>
        </w:tc>
        <w:tc>
          <w:tcPr/>
          <w:p>
            <w:pPr>
              <w:pStyle w:val="Compact"/>
            </w:pPr>
            <w:r>
              <w:t xml:space="preserve">1.0864</w:t>
            </w:r>
          </w:p>
        </w:tc>
        <w:tc>
          <w:tcPr/>
          <w:p>
            <w:pPr>
              <w:pStyle w:val="Compact"/>
            </w:pPr>
            <w:r>
              <w:t xml:space="preserve">0.659</w:t>
            </w:r>
          </w:p>
        </w:tc>
        <w:tc>
          <w:tcPr/>
          <w:p>
            <w:pPr>
              <w:pStyle w:val="Compact"/>
            </w:pPr>
            <w:r>
              <w:t xml:space="preserve">+0.0</w:t>
            </w:r>
          </w:p>
        </w:tc>
        <w:tc>
          <w:tcPr/>
          <w:p>
            <w:pPr>
              <w:pStyle w:val="Compact"/>
            </w:pPr>
            <w:r>
              <w:t xml:space="preserve">+2.2</w:t>
            </w:r>
          </w:p>
        </w:tc>
        <w:tc>
          <w:tcPr/>
          <w:p>
            <w:pPr>
              <w:pStyle w:val="Compact"/>
            </w:pPr>
            <w:r>
              <w:t xml:space="preserve">533</w:t>
            </w:r>
          </w:p>
        </w:tc>
        <w:tc>
          <w:tcPr/>
          <w:p>
            <w:pPr>
              <w:pStyle w:val="Compact"/>
            </w:pPr>
            <w:r>
              <w:t xml:space="preserve">49</w:t>
            </w:r>
          </w:p>
        </w:tc>
      </w:tr>
      <w:tr>
        <w:tc>
          <w:tcPr/>
          <w:p>
            <w:pPr>
              <w:pStyle w:val="Compact"/>
            </w:pPr>
            <w:r>
              <w:t xml:space="preserve">M2</w:t>
            </w:r>
          </w:p>
        </w:tc>
        <w:tc>
          <w:tcPr/>
          <w:p>
            <w:pPr>
              <w:pStyle w:val="Compact"/>
            </w:pPr>
            <w:r>
              <w:t xml:space="preserve">1.3716</w:t>
            </w:r>
          </w:p>
        </w:tc>
        <w:tc>
          <w:tcPr/>
          <w:p>
            <w:pPr>
              <w:pStyle w:val="Compact"/>
            </w:pPr>
            <w:r>
              <w:t xml:space="preserve">0.02530</w:t>
            </w:r>
          </w:p>
        </w:tc>
        <w:tc>
          <w:tcPr/>
          <w:p>
            <w:pPr>
              <w:pStyle w:val="Compact"/>
            </w:pPr>
            <w:r>
              <w:t xml:space="preserve">0.10247</w:t>
            </w:r>
          </w:p>
        </w:tc>
        <w:tc>
          <w:tcPr/>
          <w:p>
            <w:pPr>
              <w:pStyle w:val="Compact"/>
            </w:pPr>
            <w:r>
              <w:t xml:space="preserve">3644.20</w:t>
            </w:r>
          </w:p>
        </w:tc>
        <w:tc>
          <w:tcPr/>
          <w:p>
            <w:pPr>
              <w:pStyle w:val="Compact"/>
            </w:pPr>
            <w:r>
              <w:t xml:space="preserve">1.5331</w:t>
            </w:r>
          </w:p>
        </w:tc>
        <w:tc>
          <w:tcPr/>
          <w:p>
            <w:pPr>
              <w:pStyle w:val="Compact"/>
            </w:pPr>
            <w:r>
              <w:t xml:space="preserve">0.9726</w:t>
            </w:r>
          </w:p>
        </w:tc>
        <w:tc>
          <w:tcPr/>
          <w:p>
            <w:pPr>
              <w:pStyle w:val="Compact"/>
            </w:pPr>
            <w:r>
              <w:t xml:space="preserve">0.638</w:t>
            </w:r>
          </w:p>
        </w:tc>
        <w:tc>
          <w:tcPr/>
          <w:p>
            <w:pPr>
              <w:pStyle w:val="Compact"/>
            </w:pPr>
            <w:r>
              <w:t xml:space="preserve">+10.5</w:t>
            </w:r>
          </w:p>
        </w:tc>
        <w:tc>
          <w:tcPr/>
          <w:p>
            <w:pPr>
              <w:pStyle w:val="Compact"/>
            </w:pPr>
            <w:r>
              <w:t xml:space="preserve">+12.5</w:t>
            </w:r>
          </w:p>
        </w:tc>
        <w:tc>
          <w:tcPr/>
          <w:p>
            <w:pPr>
              <w:pStyle w:val="Compact"/>
            </w:pPr>
            <w:r>
              <w:t xml:space="preserve">501</w:t>
            </w:r>
          </w:p>
        </w:tc>
        <w:tc>
          <w:tcPr/>
          <w:p>
            <w:pPr>
              <w:pStyle w:val="Compact"/>
            </w:pPr>
            <w:r>
              <w:t xml:space="preserve">46</w:t>
            </w:r>
          </w:p>
        </w:tc>
      </w:tr>
      <w:tr>
        <w:tc>
          <w:tcPr/>
          <w:p>
            <w:pPr>
              <w:pStyle w:val="Compact"/>
            </w:pPr>
            <w:r>
              <w:t xml:space="preserve">M3</w:t>
            </w:r>
          </w:p>
        </w:tc>
        <w:tc>
          <w:tcPr/>
          <w:p>
            <w:pPr>
              <w:pStyle w:val="Compact"/>
            </w:pPr>
            <w:r>
              <w:t xml:space="preserve">1.2241</w:t>
            </w:r>
          </w:p>
        </w:tc>
        <w:tc>
          <w:tcPr/>
          <w:p>
            <w:pPr>
              <w:pStyle w:val="Compact"/>
            </w:pPr>
            <w:r>
              <w:t xml:space="preserve">0.02421</w:t>
            </w:r>
          </w:p>
        </w:tc>
        <w:tc>
          <w:tcPr/>
          <w:p>
            <w:pPr>
              <w:pStyle w:val="Compact"/>
            </w:pPr>
            <w:r>
              <w:t xml:space="preserve">0.09640</w:t>
            </w:r>
          </w:p>
        </w:tc>
        <w:tc>
          <w:tcPr/>
          <w:p>
            <w:pPr>
              <w:pStyle w:val="Compact"/>
            </w:pPr>
            <w:r>
              <w:t xml:space="preserve">3640.89</w:t>
            </w:r>
          </w:p>
        </w:tc>
        <w:tc>
          <w:tcPr/>
          <w:p>
            <w:pPr>
              <w:pStyle w:val="Compact"/>
            </w:pPr>
            <w:r>
              <w:t xml:space="preserve">1.5519</w:t>
            </w:r>
          </w:p>
        </w:tc>
        <w:tc>
          <w:tcPr/>
          <w:p>
            <w:pPr>
              <w:pStyle w:val="Compact"/>
            </w:pPr>
            <w:r>
              <w:t xml:space="preserve">0.8728</w:t>
            </w:r>
          </w:p>
        </w:tc>
        <w:tc>
          <w:tcPr/>
          <w:p>
            <w:pPr>
              <w:pStyle w:val="Compact"/>
            </w:pPr>
            <w:r>
              <w:t xml:space="preserve">0.614</w:t>
            </w:r>
          </w:p>
        </w:tc>
        <w:tc>
          <w:tcPr/>
          <w:p>
            <w:pPr>
              <w:pStyle w:val="Compact"/>
            </w:pPr>
            <w:r>
              <w:t xml:space="preserve">+19.7</w:t>
            </w:r>
          </w:p>
        </w:tc>
        <w:tc>
          <w:tcPr/>
          <w:p>
            <w:pPr>
              <w:pStyle w:val="Compact"/>
            </w:pPr>
            <w:r>
              <w:t xml:space="preserve">+21.5</w:t>
            </w:r>
          </w:p>
        </w:tc>
        <w:tc>
          <w:tcPr/>
          <w:p>
            <w:pPr>
              <w:pStyle w:val="Compact"/>
            </w:pPr>
            <w:r>
              <w:t xml:space="preserve">501</w:t>
            </w:r>
          </w:p>
        </w:tc>
        <w:tc>
          <w:tcPr/>
          <w:p>
            <w:pPr>
              <w:pStyle w:val="Compact"/>
            </w:pPr>
            <w:r>
              <w:t xml:space="preserve">46</w:t>
            </w:r>
          </w:p>
        </w:tc>
      </w:tr>
    </w:tbl>
    <w:p>
      <w:pPr>
        <w:pStyle w:val="BodyText"/>
      </w:pPr>
      <w:r>
        <w:rPr>
          <w:b/>
          <w:bCs/>
        </w:rPr>
        <w:t xml:space="preserve">Did the H-2A block (Model 3) improve on Model 2 by AIC?</w:t>
      </w:r>
      <w:r>
        <w:t xml:space="preserve"> </w:t>
      </w:r>
      <w:r>
        <w:t xml:space="preserve">Derived directly, not asserted:</w:t>
      </w:r>
    </w:p>
    <w:p>
      <w:pPr>
        <w:pStyle w:val="Compact"/>
        <w:numPr>
          <w:ilvl w:val="0"/>
          <w:numId w:val="1002"/>
        </w:numPr>
      </w:pPr>
      <w:r>
        <w:rPr>
          <w:b/>
          <w:bCs/>
        </w:rPr>
        <w:t xml:space="preserve">inspections:</w:t>
      </w:r>
      <w:r>
        <w:t xml:space="preserve"> </w:t>
      </w:r>
      <w:r>
        <w:t xml:space="preserve">Model 3 did not improve on Model 2 by AIC (4565.97 vs 4562.64, delta = +3.33 for three added parameters); the added H-2A-block coefficients are</w:t>
      </w:r>
      <w:r>
        <w:t xml:space="preserve"> </w:t>
      </w:r>
      <w:r>
        <w:rPr>
          <w:rStyle w:val="VerbatimChar"/>
        </w:rPr>
        <w:t xml:space="preserve">h2a_per_farmworker_z</w:t>
      </w:r>
      <w:r>
        <w:t xml:space="preserve"> </w:t>
      </w:r>
      <w:r>
        <w:t xml:space="preserve">p = 0.193,</w:t>
      </w:r>
      <w:r>
        <w:t xml:space="preserve"> </w:t>
      </w:r>
      <w:r>
        <w:rPr>
          <w:rStyle w:val="VerbatimChar"/>
        </w:rPr>
        <w:t xml:space="preserve">dol_demand_met_pct_z</w:t>
      </w:r>
      <w:r>
        <w:t xml:space="preserve"> </w:t>
      </w:r>
      <w:r>
        <w:t xml:space="preserve">p = 0.519,</w:t>
      </w:r>
      <w:r>
        <w:t xml:space="preserve"> </w:t>
      </w:r>
      <w:r>
        <w:rPr>
          <w:rStyle w:val="VerbatimChar"/>
        </w:rPr>
        <w:t xml:space="preserve">pct_flc_z</w:t>
      </w:r>
      <w:r>
        <w:t xml:space="preserve"> </w:t>
      </w:r>
      <w:r>
        <w:t xml:space="preserve">p = 0.975 – none significant at p&lt;.05.</w:t>
      </w:r>
    </w:p>
    <w:p>
      <w:pPr>
        <w:pStyle w:val="Compact"/>
        <w:numPr>
          <w:ilvl w:val="0"/>
          <w:numId w:val="1002"/>
        </w:numPr>
      </w:pPr>
      <w:r>
        <w:rPr>
          <w:b/>
          <w:bCs/>
        </w:rPr>
        <w:t xml:space="preserve">violations:</w:t>
      </w:r>
      <w:r>
        <w:t xml:space="preserve"> </w:t>
      </w:r>
      <w:r>
        <w:t xml:space="preserve">Model 3 improved on Model 2 by AIC (3640.89 vs 3644.20, delta = -3.31 for three added parameters); the added H-2A-block coefficients are</w:t>
      </w:r>
      <w:r>
        <w:t xml:space="preserve"> </w:t>
      </w:r>
      <w:r>
        <w:rPr>
          <w:rStyle w:val="VerbatimChar"/>
        </w:rPr>
        <w:t xml:space="preserve">h2a_per_farmworker_z</w:t>
      </w:r>
      <w:r>
        <w:t xml:space="preserve"> </w:t>
      </w:r>
      <w:r>
        <w:t xml:space="preserve">p = 0.105,</w:t>
      </w:r>
      <w:r>
        <w:t xml:space="preserve"> </w:t>
      </w:r>
      <w:r>
        <w:rPr>
          <w:rStyle w:val="VerbatimChar"/>
        </w:rPr>
        <w:t xml:space="preserve">dol_demand_met_pct_z</w:t>
      </w:r>
      <w:r>
        <w:t xml:space="preserve"> </w:t>
      </w:r>
      <w:r>
        <w:t xml:space="preserve">p = 0.481,</w:t>
      </w:r>
      <w:r>
        <w:t xml:space="preserve"> </w:t>
      </w:r>
      <w:r>
        <w:rPr>
          <w:rStyle w:val="VerbatimChar"/>
        </w:rPr>
        <w:t xml:space="preserve">pct_flc_z</w:t>
      </w:r>
      <w:r>
        <w:t xml:space="preserve"> </w:t>
      </w:r>
      <w:r>
        <w:t xml:space="preserve">p = 0.168 – none significant at p&lt;.05.</w:t>
      </w:r>
    </w:p>
    <w:p>
      <w:pPr>
        <w:pStyle w:val="FirstParagraph"/>
      </w:pPr>
      <w:r>
        <w:rPr>
          <w:b/>
          <w:bCs/>
        </w:rPr>
        <w:t xml:space="preserve">Why two reduction columns.</w:t>
      </w:r>
      <w:r>
        <w:t xml:space="preserve"> </w:t>
      </w:r>
      <w:r>
        <w:t xml:space="preserve">Model 1 keeps all 49 states; Models 2 and 3 keep 46, because AK, RI and VT have no BLS pesticide-applicator series and drop by listwise deletion once</w:t>
      </w:r>
      <w:r>
        <w:t xml:space="preserve"> </w:t>
      </w:r>
      <w:r>
        <w:rPr>
          <w:rStyle w:val="VerbatimChar"/>
        </w:rPr>
        <w:t xml:space="preserve">SPEND_APP_z</w:t>
      </w:r>
      <w:r>
        <w:t xml:space="preserve"> </w:t>
      </w:r>
      <w:r>
        <w:t xml:space="preserve">enters.</w:t>
      </w:r>
      <w:r>
        <w:t xml:space="preserve"> </w:t>
      </w:r>
      <w:r>
        <w:rPr>
          <w:rStyle w:val="VerbatimChar"/>
        </w:rPr>
        <w:t xml:space="preserve">Delta sigma^2_u0 %</w:t>
      </w:r>
      <w:r>
        <w:t xml:space="preserve"> </w:t>
      </w:r>
      <w:r>
        <w:t xml:space="preserve">is measured against a single Model-1 baseline on Model 1’s own sample, so every column starts from Model 1.</w:t>
      </w:r>
      <w:r>
        <w:t xml:space="preserve"> </w:t>
      </w:r>
      <w:r>
        <w:rPr>
          <w:rStyle w:val="VerbatimChar"/>
        </w:rPr>
        <w:t xml:space="preserve">Delta % matched</w:t>
      </w:r>
      <w:r>
        <w:t xml:space="preserve"> </w:t>
      </w:r>
      <w:r>
        <w:t xml:space="preserve">refits the Model-1 baseline on the Model-2/3 sample, so the difference between the two columns is exactly what those three states contributed. Neither number alone tells the truth; read both.</w:t>
      </w:r>
    </w:p>
    <w:p>
      <w:pPr>
        <w:pStyle w:val="BodyText"/>
      </w:pPr>
      <w:r>
        <w:rPr>
          <w:b/>
          <w:bCs/>
        </w:rPr>
        <w:t xml:space="preserve">On the Model-1 row specifically,</w:t>
      </w:r>
      <w:r>
        <w:rPr>
          <w:b/>
          <w:bCs/>
        </w:rPr>
        <w:t xml:space="preserve"> </w:t>
      </w:r>
      <w:r>
        <w:rPr>
          <w:rStyle w:val="VerbatimChar"/>
          <w:b/>
          <w:bCs/>
        </w:rPr>
        <w:t xml:space="preserve">Delta % matched</w:t>
      </w:r>
      <w:r>
        <w:rPr>
          <w:b/>
          <w:bCs/>
        </w:rPr>
        <w:t xml:space="preserve"> </w:t>
      </w:r>
      <w:r>
        <w:rPr>
          <w:b/>
          <w:bCs/>
        </w:rPr>
        <w:t xml:space="preserve">is not zero even though Model 1 has no covariates to explain anything</w:t>
      </w:r>
      <w:r>
        <w:t xml:space="preserve"> </w:t>
      </w:r>
      <w:r>
        <w:t xml:space="preserve">(inspections -13.3%; violations +2.2%). That is not model improvement – Model 1 has only one formula, fit twice, once on 49 states and once on 46. The entire M1-row value is exactly the sample effect described in the paragraph above, and nothing else.</w:t>
      </w:r>
    </w:p>
    <w:p>
      <w:pPr>
        <w:pStyle w:val="BodyText"/>
      </w:pPr>
      <w:r>
        <w:rPr>
          <w:b/>
          <w:bCs/>
        </w:rPr>
        <w:t xml:space="preserve">And the two columns differ in opposite directions by outcome</w:t>
      </w:r>
      <w:r>
        <w:t xml:space="preserve">, which is why the generic warning is not written here:</w:t>
      </w:r>
    </w:p>
    <w:p>
      <w:pPr>
        <w:pStyle w:val="Compact"/>
        <w:numPr>
          <w:ilvl w:val="0"/>
          <w:numId w:val="1003"/>
        </w:numPr>
      </w:pPr>
      <w:r>
        <w:rPr>
          <w:b/>
          <w:bCs/>
        </w:rPr>
        <w:t xml:space="preserve">inspections:</w:t>
      </w:r>
      <w:r>
        <w:t xml:space="preserve"> </w:t>
      </w:r>
      <w:r>
        <w:t xml:space="preserve">dropping AK, RI and VT lowers the Model-1 between-state variance (1.1069 on 49 states -&gt; 0.9769 on 46), so the Model-1 basis overstates what the covariates do: Model 3 reduces sigma^2_u0 by +16.3% against Model 1 but +5.1% against the matched baseline.</w:t>
      </w:r>
    </w:p>
    <w:p>
      <w:pPr>
        <w:pStyle w:val="Compact"/>
        <w:numPr>
          <w:ilvl w:val="0"/>
          <w:numId w:val="1003"/>
        </w:numPr>
      </w:pPr>
      <w:r>
        <w:rPr>
          <w:b/>
          <w:bCs/>
        </w:rPr>
        <w:t xml:space="preserve">violations:</w:t>
      </w:r>
      <w:r>
        <w:t xml:space="preserve"> </w:t>
      </w:r>
      <w:r>
        <w:t xml:space="preserve">dropping AK, RI and VT raises the Model-1 between-state variance (1.0864 on 49 states -&gt; 1.1114 on 46), so the Model-1 basis understates what the covariates do: Model 3 reduces sigma^2_u0 by +19.7% against Model 1 but +21.5% against the matched baseline.</w:t>
      </w:r>
    </w:p>
    <w:p>
      <w:pPr>
        <w:pStyle w:val="FirstParagraph"/>
      </w:pPr>
      <w:r>
        <w:t xml:space="preserve">The inspections direction reproduces, under a different model class, an asymmetry this project already documented for the published log-linear tables: AK/RI/VT carry much of the between-state inspection variance. In those published tables the violations column never dropped AK/RI/VT at all, so it was unaffected by their loss – that does NOT carry over to this arm. Here violations does drop those three states once</w:t>
      </w:r>
      <w:r>
        <w:t xml:space="preserve"> </w:t>
      </w:r>
      <w:r>
        <w:rPr>
          <w:rStyle w:val="VerbatimChar"/>
        </w:rPr>
        <w:t xml:space="preserve">SPEND_APP_z</w:t>
      </w:r>
      <w:r>
        <w:t xml:space="preserve"> </w:t>
      </w:r>
      <w:r>
        <w:t xml:space="preserve">enters, and the reduction changes just as inspections’ does: +19.7% against Model 1 versus +21.5% against the matched baseline (the bullet above).</w:t>
      </w:r>
    </w:p>
    <w:bookmarkEnd w:id="22"/>
    <w:bookmarkEnd w:id="23"/>
    <w:bookmarkStart w:id="26" w:name="coefficients"/>
    <w:p>
      <w:pPr>
        <w:pStyle w:val="Heading2"/>
      </w:pPr>
      <w:r>
        <w:t xml:space="preserve">Coefficients</w:t>
      </w:r>
    </w:p>
    <w:p>
      <w:pPr>
        <w:pStyle w:val="FirstParagraph"/>
      </w:pPr>
      <w:r>
        <w:rPr>
          <w:rStyle w:val="VerbatimChar"/>
        </w:rPr>
        <w:t xml:space="preserve">b (SE)</w:t>
      </w:r>
      <w:r>
        <w:t xml:space="preserve"> </w:t>
      </w:r>
      <w:r>
        <w:t xml:space="preserve">with significance stars, and IRR = exp(b). Stars: * p&lt;.05, ** p&lt;.01, *** p&lt;.001.</w:t>
      </w:r>
    </w:p>
    <w:bookmarkStart w:id="24" w:name="inspections-insp_2021-1"/>
    <w:p>
      <w:pPr>
        <w:pStyle w:val="Heading3"/>
      </w:pPr>
      <w:r>
        <w:t xml:space="preserve">inspections (insp_2021)</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Term</w:t>
            </w:r>
          </w:p>
        </w:tc>
        <w:tc>
          <w:tcPr/>
          <w:p>
            <w:pPr>
              <w:pStyle w:val="Compact"/>
            </w:pPr>
            <w:r>
              <w:t xml:space="preserve">M1 b (SE)</w:t>
            </w:r>
          </w:p>
        </w:tc>
        <w:tc>
          <w:tcPr/>
          <w:p>
            <w:pPr>
              <w:pStyle w:val="Compact"/>
            </w:pPr>
            <w:r>
              <w:t xml:space="preserve">M1 IRR</w:t>
            </w:r>
          </w:p>
        </w:tc>
        <w:tc>
          <w:tcPr/>
          <w:p>
            <w:pPr>
              <w:pStyle w:val="Compact"/>
            </w:pPr>
            <w:r>
              <w:t xml:space="preserve">M2 b (SE)</w:t>
            </w:r>
          </w:p>
        </w:tc>
        <w:tc>
          <w:tcPr/>
          <w:p>
            <w:pPr>
              <w:pStyle w:val="Compact"/>
            </w:pPr>
            <w:r>
              <w:t xml:space="preserve">M2 IRR</w:t>
            </w:r>
          </w:p>
        </w:tc>
        <w:tc>
          <w:tcPr/>
          <w:p>
            <w:pPr>
              <w:pStyle w:val="Compact"/>
            </w:pPr>
            <w:r>
              <w:t xml:space="preserve">M3 b (SE)</w:t>
            </w:r>
          </w:p>
        </w:tc>
        <w:tc>
          <w:tcPr/>
          <w:p>
            <w:pPr>
              <w:pStyle w:val="Compact"/>
            </w:pPr>
            <w:r>
              <w:t xml:space="preserve">M3 IRR</w:t>
            </w:r>
          </w:p>
        </w:tc>
      </w:tr>
      <w:tr>
        <w:tc>
          <w:tcPr/>
          <w:p>
            <w:pPr>
              <w:pStyle w:val="Compact"/>
            </w:pPr>
            <w:r>
              <w:t xml:space="preserve">(Intercept)</w:t>
            </w:r>
          </w:p>
        </w:tc>
        <w:tc>
          <w:tcPr/>
          <w:p>
            <w:pPr>
              <w:pStyle w:val="Compact"/>
            </w:pPr>
            <w:r>
              <w:t xml:space="preserve">3.513 (0.157)***</w:t>
            </w:r>
          </w:p>
        </w:tc>
        <w:tc>
          <w:tcPr/>
          <w:p>
            <w:pPr>
              <w:pStyle w:val="Compact"/>
            </w:pPr>
            <w:r>
              <w:t xml:space="preserve">33.562</w:t>
            </w:r>
          </w:p>
        </w:tc>
        <w:tc>
          <w:tcPr/>
          <w:p>
            <w:pPr>
              <w:pStyle w:val="Compact"/>
            </w:pPr>
            <w:r>
              <w:t xml:space="preserve">3.637 (0.157)***</w:t>
            </w:r>
          </w:p>
        </w:tc>
        <w:tc>
          <w:tcPr/>
          <w:p>
            <w:pPr>
              <w:pStyle w:val="Compact"/>
            </w:pPr>
            <w:r>
              <w:t xml:space="preserve">37.977</w:t>
            </w:r>
          </w:p>
        </w:tc>
        <w:tc>
          <w:tcPr/>
          <w:p>
            <w:pPr>
              <w:pStyle w:val="Compact"/>
            </w:pPr>
            <w:r>
              <w:t xml:space="preserve">3.635 (0.156)***</w:t>
            </w:r>
          </w:p>
        </w:tc>
        <w:tc>
          <w:tcPr/>
          <w:p>
            <w:pPr>
              <w:pStyle w:val="Compact"/>
            </w:pPr>
            <w:r>
              <w:t xml:space="preserve">37.921</w:t>
            </w:r>
          </w:p>
        </w:tc>
      </w:tr>
      <w:tr>
        <w:tc>
          <w:tcPr/>
          <w:p>
            <w:pPr>
              <w:pStyle w:val="Compact"/>
            </w:pPr>
            <w:r>
              <w:t xml:space="preserve">time</w:t>
            </w:r>
          </w:p>
        </w:tc>
        <w:tc>
          <w:tcPr/>
          <w:p>
            <w:pPr>
              <w:pStyle w:val="Compact"/>
            </w:pPr>
            <w:r>
              <w:t xml:space="preserve">-0.059 (0.019)**</w:t>
            </w:r>
          </w:p>
        </w:tc>
        <w:tc>
          <w:tcPr/>
          <w:p>
            <w:pPr>
              <w:pStyle w:val="Compact"/>
            </w:pPr>
            <w:r>
              <w:t xml:space="preserve">0.942</w:t>
            </w:r>
          </w:p>
        </w:tc>
        <w:tc>
          <w:tcPr/>
          <w:p>
            <w:pPr>
              <w:pStyle w:val="Compact"/>
            </w:pPr>
            <w:r>
              <w:t xml:space="preserve">-0.058 (0.019)**</w:t>
            </w:r>
          </w:p>
        </w:tc>
        <w:tc>
          <w:tcPr/>
          <w:p>
            <w:pPr>
              <w:pStyle w:val="Compact"/>
            </w:pPr>
            <w:r>
              <w:t xml:space="preserve">0.944</w:t>
            </w:r>
          </w:p>
        </w:tc>
        <w:tc>
          <w:tcPr/>
          <w:p>
            <w:pPr>
              <w:pStyle w:val="Compact"/>
            </w:pPr>
            <w:r>
              <w:t xml:space="preserve">-0.061 (0.019)**</w:t>
            </w:r>
          </w:p>
        </w:tc>
        <w:tc>
          <w:tcPr/>
          <w:p>
            <w:pPr>
              <w:pStyle w:val="Compact"/>
            </w:pPr>
            <w:r>
              <w:t xml:space="preserve">0.941</w:t>
            </w:r>
          </w:p>
        </w:tc>
      </w:tr>
      <w:tr>
        <w:tc>
          <w:tcPr/>
          <w:p>
            <w:pPr>
              <w:pStyle w:val="Compact"/>
            </w:pPr>
            <w:r>
              <w:t xml:space="preserve">time2</w:t>
            </w:r>
          </w:p>
        </w:tc>
        <w:tc>
          <w:tcPr/>
          <w:p>
            <w:pPr>
              <w:pStyle w:val="Compact"/>
            </w:pPr>
            <w:r>
              <w:t xml:space="preserve">-0.005 (0.003)</w:t>
            </w:r>
          </w:p>
        </w:tc>
        <w:tc>
          <w:tcPr/>
          <w:p>
            <w:pPr>
              <w:pStyle w:val="Compact"/>
            </w:pPr>
            <w:r>
              <w:t xml:space="preserve">0.995</w:t>
            </w:r>
          </w:p>
        </w:tc>
        <w:tc>
          <w:tcPr/>
          <w:p>
            <w:pPr>
              <w:pStyle w:val="Compact"/>
            </w:pPr>
            <w:r>
              <w:t xml:space="preserve">-0.004 (0.003)</w:t>
            </w:r>
          </w:p>
        </w:tc>
        <w:tc>
          <w:tcPr/>
          <w:p>
            <w:pPr>
              <w:pStyle w:val="Compact"/>
            </w:pPr>
            <w:r>
              <w:t xml:space="preserve">0.996</w:t>
            </w:r>
          </w:p>
        </w:tc>
        <w:tc>
          <w:tcPr/>
          <w:p>
            <w:pPr>
              <w:pStyle w:val="Compact"/>
            </w:pPr>
            <w:r>
              <w:t xml:space="preserve">-0.005 (0.004)</w:t>
            </w:r>
          </w:p>
        </w:tc>
        <w:tc>
          <w:tcPr/>
          <w:p>
            <w:pPr>
              <w:pStyle w:val="Compact"/>
            </w:pPr>
            <w:r>
              <w:t xml:space="preserve">0.995</w:t>
            </w:r>
          </w:p>
        </w:tc>
      </w:tr>
      <w:tr>
        <w:tc>
          <w:tcPr/>
          <w:p>
            <w:pPr>
              <w:pStyle w:val="Compact"/>
            </w:pPr>
            <w:r>
              <w:t xml:space="preserve">time3</w:t>
            </w:r>
          </w:p>
        </w:tc>
        <w:tc>
          <w:tcPr/>
          <w:p>
            <w:pPr>
              <w:pStyle w:val="Compact"/>
            </w:pPr>
            <w:r>
              <w:t xml:space="preserve">-0.000 (0.001)</w:t>
            </w:r>
          </w:p>
        </w:tc>
        <w:tc>
          <w:tcPr/>
          <w:p>
            <w:pPr>
              <w:pStyle w:val="Compact"/>
            </w:pPr>
            <w:r>
              <w:t xml:space="preserve">1.000</w:t>
            </w:r>
          </w:p>
        </w:tc>
        <w:tc>
          <w:tcPr/>
          <w:p>
            <w:pPr>
              <w:pStyle w:val="Compact"/>
            </w:pPr>
            <w:r>
              <w:t xml:space="preserve">0.000 (0.001)</w:t>
            </w:r>
          </w:p>
        </w:tc>
        <w:tc>
          <w:tcPr/>
          <w:p>
            <w:pPr>
              <w:pStyle w:val="Compact"/>
            </w:pPr>
            <w:r>
              <w:t xml:space="preserve">1.000</w:t>
            </w:r>
          </w:p>
        </w:tc>
        <w:tc>
          <w:tcPr/>
          <w:p>
            <w:pPr>
              <w:pStyle w:val="Compact"/>
            </w:pPr>
            <w:r>
              <w:t xml:space="preserve">-0.000 (0.001)</w:t>
            </w:r>
          </w:p>
        </w:tc>
        <w:tc>
          <w:tcPr/>
          <w:p>
            <w:pPr>
              <w:pStyle w:val="Compact"/>
            </w:pPr>
            <w:r>
              <w:t xml:space="preserve">1.000</w:t>
            </w:r>
          </w:p>
        </w:tc>
      </w:tr>
      <w:tr>
        <w:tc>
          <w:tcPr/>
          <w:p>
            <w:pPr>
              <w:pStyle w:val="Compact"/>
            </w:pPr>
            <w:r>
              <w:t xml:space="preserve">SPEND_APP_z</w:t>
            </w:r>
          </w:p>
        </w:tc>
        <w:tc>
          <w:tcPr/>
          <w:p>
            <w:pPr>
              <w:pStyle w:val="Compact"/>
            </w:pPr>
          </w:p>
        </w:tc>
        <w:tc>
          <w:tcPr/>
          <w:p>
            <w:pPr>
              <w:pStyle w:val="Compact"/>
            </w:pPr>
          </w:p>
        </w:tc>
        <w:tc>
          <w:tcPr/>
          <w:p>
            <w:pPr>
              <w:pStyle w:val="Compact"/>
            </w:pPr>
            <w:r>
              <w:t xml:space="preserve">0.076 (0.162)</w:t>
            </w:r>
          </w:p>
        </w:tc>
        <w:tc>
          <w:tcPr/>
          <w:p>
            <w:pPr>
              <w:pStyle w:val="Compact"/>
            </w:pPr>
            <w:r>
              <w:t xml:space="preserve">1.079</w:t>
            </w:r>
          </w:p>
        </w:tc>
        <w:tc>
          <w:tcPr/>
          <w:p>
            <w:pPr>
              <w:pStyle w:val="Compact"/>
            </w:pPr>
            <w:r>
              <w:t xml:space="preserve">0.083 (0.176)</w:t>
            </w:r>
          </w:p>
        </w:tc>
        <w:tc>
          <w:tcPr/>
          <w:p>
            <w:pPr>
              <w:pStyle w:val="Compact"/>
            </w:pPr>
            <w:r>
              <w:t xml:space="preserve">1.086</w:t>
            </w:r>
          </w:p>
        </w:tc>
      </w:tr>
      <w:tr>
        <w:tc>
          <w:tcPr/>
          <w:p>
            <w:pPr>
              <w:pStyle w:val="Compact"/>
            </w:pPr>
            <w:r>
              <w:t xml:space="preserve">SPEND_WORK_z</w:t>
            </w:r>
          </w:p>
        </w:tc>
        <w:tc>
          <w:tcPr/>
          <w:p>
            <w:pPr>
              <w:pStyle w:val="Compact"/>
            </w:pPr>
          </w:p>
        </w:tc>
        <w:tc>
          <w:tcPr/>
          <w:p>
            <w:pPr>
              <w:pStyle w:val="Compact"/>
            </w:pPr>
          </w:p>
        </w:tc>
        <w:tc>
          <w:tcPr/>
          <w:p>
            <w:pPr>
              <w:pStyle w:val="Compact"/>
            </w:pPr>
            <w:r>
              <w:t xml:space="preserve">0.091 (0.183)</w:t>
            </w:r>
          </w:p>
        </w:tc>
        <w:tc>
          <w:tcPr/>
          <w:p>
            <w:pPr>
              <w:pStyle w:val="Compact"/>
            </w:pPr>
            <w:r>
              <w:t xml:space="preserve">1.096</w:t>
            </w:r>
          </w:p>
        </w:tc>
        <w:tc>
          <w:tcPr/>
          <w:p>
            <w:pPr>
              <w:pStyle w:val="Compact"/>
            </w:pPr>
            <w:r>
              <w:t xml:space="preserve">0.086 (0.180)</w:t>
            </w:r>
          </w:p>
        </w:tc>
        <w:tc>
          <w:tcPr/>
          <w:p>
            <w:pPr>
              <w:pStyle w:val="Compact"/>
            </w:pPr>
            <w:r>
              <w:t xml:space="preserve">1.089</w:t>
            </w:r>
          </w:p>
        </w:tc>
      </w:tr>
      <w:tr>
        <w:tc>
          <w:tcPr/>
          <w:p>
            <w:pPr>
              <w:pStyle w:val="Compact"/>
            </w:pPr>
            <w:r>
              <w:t xml:space="preserve">lii_2017_z</w:t>
            </w:r>
          </w:p>
        </w:tc>
        <w:tc>
          <w:tcPr/>
          <w:p>
            <w:pPr>
              <w:pStyle w:val="Compact"/>
            </w:pPr>
          </w:p>
        </w:tc>
        <w:tc>
          <w:tcPr/>
          <w:p>
            <w:pPr>
              <w:pStyle w:val="Compact"/>
            </w:pPr>
          </w:p>
        </w:tc>
        <w:tc>
          <w:tcPr/>
          <w:p>
            <w:pPr>
              <w:pStyle w:val="Compact"/>
            </w:pPr>
            <w:r>
              <w:t xml:space="preserve">0.099 (0.225)</w:t>
            </w:r>
          </w:p>
        </w:tc>
        <w:tc>
          <w:tcPr/>
          <w:p>
            <w:pPr>
              <w:pStyle w:val="Compact"/>
            </w:pPr>
            <w:r>
              <w:t xml:space="preserve">1.105</w:t>
            </w:r>
          </w:p>
        </w:tc>
        <w:tc>
          <w:tcPr/>
          <w:p>
            <w:pPr>
              <w:pStyle w:val="Compact"/>
            </w:pPr>
            <w:r>
              <w:t xml:space="preserve">0.073 (0.230)</w:t>
            </w:r>
          </w:p>
        </w:tc>
        <w:tc>
          <w:tcPr/>
          <w:p>
            <w:pPr>
              <w:pStyle w:val="Compact"/>
            </w:pPr>
            <w:r>
              <w:t xml:space="preserve">1.076</w:t>
            </w:r>
          </w:p>
        </w:tc>
      </w:tr>
      <w:tr>
        <w:tc>
          <w:tcPr/>
          <w:p>
            <w:pPr>
              <w:pStyle w:val="Compact"/>
            </w:pPr>
            <w:r>
              <w:t xml:space="preserve">h2a_per_farmworker_z</w:t>
            </w:r>
          </w:p>
        </w:tc>
        <w:tc>
          <w:tcPr/>
          <w:p>
            <w:pPr>
              <w:pStyle w:val="Compact"/>
            </w:pPr>
          </w:p>
        </w:tc>
        <w:tc>
          <w:tcPr/>
          <w:p>
            <w:pPr>
              <w:pStyle w:val="Compact"/>
            </w:pPr>
          </w:p>
        </w:tc>
        <w:tc>
          <w:tcPr/>
          <w:p>
            <w:pPr>
              <w:pStyle w:val="Compact"/>
            </w:pPr>
          </w:p>
        </w:tc>
        <w:tc>
          <w:tcPr/>
          <w:p>
            <w:pPr>
              <w:pStyle w:val="Compact"/>
            </w:pPr>
          </w:p>
        </w:tc>
        <w:tc>
          <w:tcPr/>
          <w:p>
            <w:pPr>
              <w:pStyle w:val="Compact"/>
            </w:pPr>
            <w:r>
              <w:t xml:space="preserve">0.067 (0.052)</w:t>
            </w:r>
          </w:p>
        </w:tc>
        <w:tc>
          <w:tcPr/>
          <w:p>
            <w:pPr>
              <w:pStyle w:val="Compact"/>
            </w:pPr>
            <w:r>
              <w:t xml:space="preserve">1.070</w:t>
            </w:r>
          </w:p>
        </w:tc>
      </w:tr>
      <w:tr>
        <w:tc>
          <w:tcPr/>
          <w:p>
            <w:pPr>
              <w:pStyle w:val="Compact"/>
            </w:pPr>
            <w:r>
              <w:t xml:space="preserve">dol_demand_met_pct_z</w:t>
            </w:r>
          </w:p>
        </w:tc>
        <w:tc>
          <w:tcPr/>
          <w:p>
            <w:pPr>
              <w:pStyle w:val="Compact"/>
            </w:pPr>
          </w:p>
        </w:tc>
        <w:tc>
          <w:tcPr/>
          <w:p>
            <w:pPr>
              <w:pStyle w:val="Compact"/>
            </w:pPr>
          </w:p>
        </w:tc>
        <w:tc>
          <w:tcPr/>
          <w:p>
            <w:pPr>
              <w:pStyle w:val="Compact"/>
            </w:pPr>
          </w:p>
        </w:tc>
        <w:tc>
          <w:tcPr/>
          <w:p>
            <w:pPr>
              <w:pStyle w:val="Compact"/>
            </w:pPr>
          </w:p>
        </w:tc>
        <w:tc>
          <w:tcPr/>
          <w:p>
            <w:pPr>
              <w:pStyle w:val="Compact"/>
            </w:pPr>
            <w:r>
              <w:t xml:space="preserve">0.137 (0.212)</w:t>
            </w:r>
          </w:p>
        </w:tc>
        <w:tc>
          <w:tcPr/>
          <w:p>
            <w:pPr>
              <w:pStyle w:val="Compact"/>
            </w:pPr>
            <w:r>
              <w:t xml:space="preserve">1.146</w:t>
            </w:r>
          </w:p>
        </w:tc>
      </w:tr>
      <w:tr>
        <w:tc>
          <w:tcPr/>
          <w:p>
            <w:pPr>
              <w:pStyle w:val="Compact"/>
            </w:pPr>
            <w:r>
              <w:t xml:space="preserve">pct_flc_z</w:t>
            </w:r>
          </w:p>
        </w:tc>
        <w:tc>
          <w:tcPr/>
          <w:p>
            <w:pPr>
              <w:pStyle w:val="Compact"/>
            </w:pPr>
          </w:p>
        </w:tc>
        <w:tc>
          <w:tcPr/>
          <w:p>
            <w:pPr>
              <w:pStyle w:val="Compact"/>
            </w:pPr>
          </w:p>
        </w:tc>
        <w:tc>
          <w:tcPr/>
          <w:p>
            <w:pPr>
              <w:pStyle w:val="Compact"/>
            </w:pPr>
          </w:p>
        </w:tc>
        <w:tc>
          <w:tcPr/>
          <w:p>
            <w:pPr>
              <w:pStyle w:val="Compact"/>
            </w:pPr>
          </w:p>
        </w:tc>
        <w:tc>
          <w:tcPr/>
          <w:p>
            <w:pPr>
              <w:pStyle w:val="Compact"/>
            </w:pPr>
            <w:r>
              <w:t xml:space="preserve">0.006 (0.182)</w:t>
            </w:r>
          </w:p>
        </w:tc>
        <w:tc>
          <w:tcPr/>
          <w:p>
            <w:pPr>
              <w:pStyle w:val="Compact"/>
            </w:pPr>
            <w:r>
              <w:t xml:space="preserve">1.006</w:t>
            </w:r>
          </w:p>
        </w:tc>
      </w:tr>
    </w:tbl>
    <w:bookmarkEnd w:id="24"/>
    <w:bookmarkStart w:id="25" w:name="violations-viol_cov_2021-1"/>
    <w:p>
      <w:pPr>
        <w:pStyle w:val="Heading3"/>
      </w:pPr>
      <w:r>
        <w:t xml:space="preserve">violations (viol_cov_2021)</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Term</w:t>
            </w:r>
          </w:p>
        </w:tc>
        <w:tc>
          <w:tcPr/>
          <w:p>
            <w:pPr>
              <w:pStyle w:val="Compact"/>
            </w:pPr>
            <w:r>
              <w:t xml:space="preserve">M1 b (SE)</w:t>
            </w:r>
          </w:p>
        </w:tc>
        <w:tc>
          <w:tcPr/>
          <w:p>
            <w:pPr>
              <w:pStyle w:val="Compact"/>
            </w:pPr>
            <w:r>
              <w:t xml:space="preserve">M1 IRR</w:t>
            </w:r>
          </w:p>
        </w:tc>
        <w:tc>
          <w:tcPr/>
          <w:p>
            <w:pPr>
              <w:pStyle w:val="Compact"/>
            </w:pPr>
            <w:r>
              <w:t xml:space="preserve">M2 b (SE)</w:t>
            </w:r>
          </w:p>
        </w:tc>
        <w:tc>
          <w:tcPr/>
          <w:p>
            <w:pPr>
              <w:pStyle w:val="Compact"/>
            </w:pPr>
            <w:r>
              <w:t xml:space="preserve">M2 IRR</w:t>
            </w:r>
          </w:p>
        </w:tc>
        <w:tc>
          <w:tcPr/>
          <w:p>
            <w:pPr>
              <w:pStyle w:val="Compact"/>
            </w:pPr>
            <w:r>
              <w:t xml:space="preserve">M3 b (SE)</w:t>
            </w:r>
          </w:p>
        </w:tc>
        <w:tc>
          <w:tcPr/>
          <w:p>
            <w:pPr>
              <w:pStyle w:val="Compact"/>
            </w:pPr>
            <w:r>
              <w:t xml:space="preserve">M3 IRR</w:t>
            </w:r>
          </w:p>
        </w:tc>
      </w:tr>
      <w:tr>
        <w:tc>
          <w:tcPr/>
          <w:p>
            <w:pPr>
              <w:pStyle w:val="Compact"/>
            </w:pPr>
            <w:r>
              <w:t xml:space="preserve">(Intercept)</w:t>
            </w:r>
          </w:p>
        </w:tc>
        <w:tc>
          <w:tcPr/>
          <w:p>
            <w:pPr>
              <w:pStyle w:val="Compact"/>
            </w:pPr>
            <w:r>
              <w:t xml:space="preserve">0.049 (0.316)</w:t>
            </w:r>
          </w:p>
        </w:tc>
        <w:tc>
          <w:tcPr/>
          <w:p>
            <w:pPr>
              <w:pStyle w:val="Compact"/>
            </w:pPr>
            <w:r>
              <w:t xml:space="preserve">1.050</w:t>
            </w:r>
          </w:p>
        </w:tc>
        <w:tc>
          <w:tcPr/>
          <w:p>
            <w:pPr>
              <w:pStyle w:val="Compact"/>
            </w:pPr>
            <w:r>
              <w:t xml:space="preserve">-0.077 (0.330)</w:t>
            </w:r>
          </w:p>
        </w:tc>
        <w:tc>
          <w:tcPr/>
          <w:p>
            <w:pPr>
              <w:pStyle w:val="Compact"/>
            </w:pPr>
            <w:r>
              <w:t xml:space="preserve">0.926</w:t>
            </w:r>
          </w:p>
        </w:tc>
        <w:tc>
          <w:tcPr/>
          <w:p>
            <w:pPr>
              <w:pStyle w:val="Compact"/>
            </w:pPr>
            <w:r>
              <w:t xml:space="preserve">-0.156 (0.324)</w:t>
            </w:r>
          </w:p>
        </w:tc>
        <w:tc>
          <w:tcPr/>
          <w:p>
            <w:pPr>
              <w:pStyle w:val="Compact"/>
            </w:pPr>
            <w:r>
              <w:t xml:space="preserve">0.855</w:t>
            </w:r>
          </w:p>
        </w:tc>
      </w:tr>
      <w:tr>
        <w:tc>
          <w:tcPr/>
          <w:p>
            <w:pPr>
              <w:pStyle w:val="Compact"/>
            </w:pPr>
            <w:r>
              <w:t xml:space="preserve">log_inspections</w:t>
            </w:r>
          </w:p>
        </w:tc>
        <w:tc>
          <w:tcPr/>
          <w:p>
            <w:pPr>
              <w:pStyle w:val="Compact"/>
            </w:pPr>
            <w:r>
              <w:t xml:space="preserve">0.691 (0.072)***</w:t>
            </w:r>
          </w:p>
        </w:tc>
        <w:tc>
          <w:tcPr/>
          <w:p>
            <w:pPr>
              <w:pStyle w:val="Compact"/>
            </w:pPr>
            <w:r>
              <w:t xml:space="preserve">1.995</w:t>
            </w:r>
          </w:p>
        </w:tc>
        <w:tc>
          <w:tcPr/>
          <w:p>
            <w:pPr>
              <w:pStyle w:val="Compact"/>
            </w:pPr>
            <w:r>
              <w:t xml:space="preserve">0.709 (0.075)***</w:t>
            </w:r>
          </w:p>
        </w:tc>
        <w:tc>
          <w:tcPr/>
          <w:p>
            <w:pPr>
              <w:pStyle w:val="Compact"/>
            </w:pPr>
            <w:r>
              <w:t xml:space="preserve">2.033</w:t>
            </w:r>
          </w:p>
        </w:tc>
        <w:tc>
          <w:tcPr/>
          <w:p>
            <w:pPr>
              <w:pStyle w:val="Compact"/>
            </w:pPr>
            <w:r>
              <w:t xml:space="preserve">0.727 (0.075)***</w:t>
            </w:r>
          </w:p>
        </w:tc>
        <w:tc>
          <w:tcPr/>
          <w:p>
            <w:pPr>
              <w:pStyle w:val="Compact"/>
            </w:pPr>
            <w:r>
              <w:t xml:space="preserve">2.068</w:t>
            </w:r>
          </w:p>
        </w:tc>
      </w:tr>
      <w:tr>
        <w:tc>
          <w:tcPr/>
          <w:p>
            <w:pPr>
              <w:pStyle w:val="Compact"/>
            </w:pPr>
            <w:r>
              <w:t xml:space="preserve">time</w:t>
            </w:r>
          </w:p>
        </w:tc>
        <w:tc>
          <w:tcPr/>
          <w:p>
            <w:pPr>
              <w:pStyle w:val="Compact"/>
            </w:pPr>
            <w:r>
              <w:t xml:space="preserve">0.063 (0.036)</w:t>
            </w:r>
          </w:p>
        </w:tc>
        <w:tc>
          <w:tcPr/>
          <w:p>
            <w:pPr>
              <w:pStyle w:val="Compact"/>
            </w:pPr>
            <w:r>
              <w:t xml:space="preserve">1.065</w:t>
            </w:r>
          </w:p>
        </w:tc>
        <w:tc>
          <w:tcPr/>
          <w:p>
            <w:pPr>
              <w:pStyle w:val="Compact"/>
            </w:pPr>
            <w:r>
              <w:t xml:space="preserve">0.041 (0.036)</w:t>
            </w:r>
          </w:p>
        </w:tc>
        <w:tc>
          <w:tcPr/>
          <w:p>
            <w:pPr>
              <w:pStyle w:val="Compact"/>
            </w:pPr>
            <w:r>
              <w:t xml:space="preserve">1.042</w:t>
            </w:r>
          </w:p>
        </w:tc>
        <w:tc>
          <w:tcPr/>
          <w:p>
            <w:pPr>
              <w:pStyle w:val="Compact"/>
            </w:pPr>
            <w:r>
              <w:t xml:space="preserve">0.051 (0.036)</w:t>
            </w:r>
          </w:p>
        </w:tc>
        <w:tc>
          <w:tcPr/>
          <w:p>
            <w:pPr>
              <w:pStyle w:val="Compact"/>
            </w:pPr>
            <w:r>
              <w:t xml:space="preserve">1.052</w:t>
            </w:r>
          </w:p>
        </w:tc>
      </w:tr>
      <w:tr>
        <w:tc>
          <w:tcPr/>
          <w:p>
            <w:pPr>
              <w:pStyle w:val="Compact"/>
            </w:pPr>
            <w:r>
              <w:t xml:space="preserve">time2</w:t>
            </w:r>
          </w:p>
        </w:tc>
        <w:tc>
          <w:tcPr/>
          <w:p>
            <w:pPr>
              <w:pStyle w:val="Compact"/>
            </w:pPr>
            <w:r>
              <w:t xml:space="preserve">-0.024 (0.006)***</w:t>
            </w:r>
          </w:p>
        </w:tc>
        <w:tc>
          <w:tcPr/>
          <w:p>
            <w:pPr>
              <w:pStyle w:val="Compact"/>
            </w:pPr>
            <w:r>
              <w:t xml:space="preserve">0.976</w:t>
            </w:r>
          </w:p>
        </w:tc>
        <w:tc>
          <w:tcPr/>
          <w:p>
            <w:pPr>
              <w:pStyle w:val="Compact"/>
            </w:pPr>
            <w:r>
              <w:t xml:space="preserve">-0.024 (0.006)***</w:t>
            </w:r>
          </w:p>
        </w:tc>
        <w:tc>
          <w:tcPr/>
          <w:p>
            <w:pPr>
              <w:pStyle w:val="Compact"/>
            </w:pPr>
            <w:r>
              <w:t xml:space="preserve">0.976</w:t>
            </w:r>
          </w:p>
        </w:tc>
        <w:tc>
          <w:tcPr/>
          <w:p>
            <w:pPr>
              <w:pStyle w:val="Compact"/>
            </w:pPr>
            <w:r>
              <w:t xml:space="preserve">-0.023 (0.006)***</w:t>
            </w:r>
          </w:p>
        </w:tc>
        <w:tc>
          <w:tcPr/>
          <w:p>
            <w:pPr>
              <w:pStyle w:val="Compact"/>
            </w:pPr>
            <w:r>
              <w:t xml:space="preserve">0.978</w:t>
            </w:r>
          </w:p>
        </w:tc>
      </w:tr>
      <w:tr>
        <w:tc>
          <w:tcPr/>
          <w:p>
            <w:pPr>
              <w:pStyle w:val="Compact"/>
            </w:pPr>
            <w:r>
              <w:t xml:space="preserve">time3</w:t>
            </w:r>
          </w:p>
        </w:tc>
        <w:tc>
          <w:tcPr/>
          <w:p>
            <w:pPr>
              <w:pStyle w:val="Compact"/>
            </w:pPr>
            <w:r>
              <w:t xml:space="preserve">-0.006 (0.001)***</w:t>
            </w:r>
          </w:p>
        </w:tc>
        <w:tc>
          <w:tcPr/>
          <w:p>
            <w:pPr>
              <w:pStyle w:val="Compact"/>
            </w:pPr>
            <w:r>
              <w:t xml:space="preserve">0.994</w:t>
            </w:r>
          </w:p>
        </w:tc>
        <w:tc>
          <w:tcPr/>
          <w:p>
            <w:pPr>
              <w:pStyle w:val="Compact"/>
            </w:pPr>
            <w:r>
              <w:t xml:space="preserve">-0.006 (0.002)***</w:t>
            </w:r>
          </w:p>
        </w:tc>
        <w:tc>
          <w:tcPr/>
          <w:p>
            <w:pPr>
              <w:pStyle w:val="Compact"/>
            </w:pPr>
            <w:r>
              <w:t xml:space="preserve">0.994</w:t>
            </w:r>
          </w:p>
        </w:tc>
        <w:tc>
          <w:tcPr/>
          <w:p>
            <w:pPr>
              <w:pStyle w:val="Compact"/>
            </w:pPr>
            <w:r>
              <w:t xml:space="preserve">-0.006 (0.002)***</w:t>
            </w:r>
          </w:p>
        </w:tc>
        <w:tc>
          <w:tcPr/>
          <w:p>
            <w:pPr>
              <w:pStyle w:val="Compact"/>
            </w:pPr>
            <w:r>
              <w:t xml:space="preserve">0.994</w:t>
            </w:r>
          </w:p>
        </w:tc>
      </w:tr>
      <w:tr>
        <w:tc>
          <w:tcPr/>
          <w:p>
            <w:pPr>
              <w:pStyle w:val="Compact"/>
            </w:pPr>
            <w:r>
              <w:t xml:space="preserve">SPEND_APP_z</w:t>
            </w:r>
          </w:p>
        </w:tc>
        <w:tc>
          <w:tcPr/>
          <w:p>
            <w:pPr>
              <w:pStyle w:val="Compact"/>
            </w:pPr>
          </w:p>
        </w:tc>
        <w:tc>
          <w:tcPr/>
          <w:p>
            <w:pPr>
              <w:pStyle w:val="Compact"/>
            </w:pPr>
          </w:p>
        </w:tc>
        <w:tc>
          <w:tcPr/>
          <w:p>
            <w:pPr>
              <w:pStyle w:val="Compact"/>
            </w:pPr>
            <w:r>
              <w:t xml:space="preserve">0.095 (0.160)</w:t>
            </w:r>
          </w:p>
        </w:tc>
        <w:tc>
          <w:tcPr/>
          <w:p>
            <w:pPr>
              <w:pStyle w:val="Compact"/>
            </w:pPr>
            <w:r>
              <w:t xml:space="preserve">1.100</w:t>
            </w:r>
          </w:p>
        </w:tc>
        <w:tc>
          <w:tcPr/>
          <w:p>
            <w:pPr>
              <w:pStyle w:val="Compact"/>
            </w:pPr>
            <w:r>
              <w:t xml:space="preserve">0.136 (0.166)</w:t>
            </w:r>
          </w:p>
        </w:tc>
        <w:tc>
          <w:tcPr/>
          <w:p>
            <w:pPr>
              <w:pStyle w:val="Compact"/>
            </w:pPr>
            <w:r>
              <w:t xml:space="preserve">1.146</w:t>
            </w:r>
          </w:p>
        </w:tc>
      </w:tr>
      <w:tr>
        <w:tc>
          <w:tcPr/>
          <w:p>
            <w:pPr>
              <w:pStyle w:val="Compact"/>
            </w:pPr>
            <w:r>
              <w:t xml:space="preserve">SPEND_WORK_z</w:t>
            </w:r>
          </w:p>
        </w:tc>
        <w:tc>
          <w:tcPr/>
          <w:p>
            <w:pPr>
              <w:pStyle w:val="Compact"/>
            </w:pPr>
          </w:p>
        </w:tc>
        <w:tc>
          <w:tcPr/>
          <w:p>
            <w:pPr>
              <w:pStyle w:val="Compact"/>
            </w:pPr>
          </w:p>
        </w:tc>
        <w:tc>
          <w:tcPr/>
          <w:p>
            <w:pPr>
              <w:pStyle w:val="Compact"/>
            </w:pPr>
            <w:r>
              <w:t xml:space="preserve">-0.318 (0.202)</w:t>
            </w:r>
          </w:p>
        </w:tc>
        <w:tc>
          <w:tcPr/>
          <w:p>
            <w:pPr>
              <w:pStyle w:val="Compact"/>
            </w:pPr>
            <w:r>
              <w:t xml:space="preserve">0.728</w:t>
            </w:r>
          </w:p>
        </w:tc>
        <w:tc>
          <w:tcPr/>
          <w:p>
            <w:pPr>
              <w:pStyle w:val="Compact"/>
            </w:pPr>
            <w:r>
              <w:t xml:space="preserve">-0.288 (0.187)</w:t>
            </w:r>
          </w:p>
        </w:tc>
        <w:tc>
          <w:tcPr/>
          <w:p>
            <w:pPr>
              <w:pStyle w:val="Compact"/>
            </w:pPr>
            <w:r>
              <w:t xml:space="preserve">0.750</w:t>
            </w:r>
          </w:p>
        </w:tc>
      </w:tr>
      <w:tr>
        <w:tc>
          <w:tcPr/>
          <w:p>
            <w:pPr>
              <w:pStyle w:val="Compact"/>
            </w:pPr>
            <w:r>
              <w:t xml:space="preserve">lii_2017_z</w:t>
            </w:r>
          </w:p>
        </w:tc>
        <w:tc>
          <w:tcPr/>
          <w:p>
            <w:pPr>
              <w:pStyle w:val="Compact"/>
            </w:pPr>
          </w:p>
        </w:tc>
        <w:tc>
          <w:tcPr/>
          <w:p>
            <w:pPr>
              <w:pStyle w:val="Compact"/>
            </w:pPr>
          </w:p>
        </w:tc>
        <w:tc>
          <w:tcPr/>
          <w:p>
            <w:pPr>
              <w:pStyle w:val="Compact"/>
            </w:pPr>
            <w:r>
              <w:t xml:space="preserve">0.014 (0.243)</w:t>
            </w:r>
          </w:p>
        </w:tc>
        <w:tc>
          <w:tcPr/>
          <w:p>
            <w:pPr>
              <w:pStyle w:val="Compact"/>
            </w:pPr>
            <w:r>
              <w:t xml:space="preserve">1.014</w:t>
            </w:r>
          </w:p>
        </w:tc>
        <w:tc>
          <w:tcPr/>
          <w:p>
            <w:pPr>
              <w:pStyle w:val="Compact"/>
            </w:pPr>
            <w:r>
              <w:t xml:space="preserve">0.091 (0.235)</w:t>
            </w:r>
          </w:p>
        </w:tc>
        <w:tc>
          <w:tcPr/>
          <w:p>
            <w:pPr>
              <w:pStyle w:val="Compact"/>
            </w:pPr>
            <w:r>
              <w:t xml:space="preserve">1.096</w:t>
            </w:r>
          </w:p>
        </w:tc>
      </w:tr>
      <w:tr>
        <w:tc>
          <w:tcPr/>
          <w:p>
            <w:pPr>
              <w:pStyle w:val="Compact"/>
            </w:pPr>
            <w:r>
              <w:t xml:space="preserve">h2a_per_farmworker_z</w:t>
            </w:r>
          </w:p>
        </w:tc>
        <w:tc>
          <w:tcPr/>
          <w:p>
            <w:pPr>
              <w:pStyle w:val="Compact"/>
            </w:pPr>
          </w:p>
        </w:tc>
        <w:tc>
          <w:tcPr/>
          <w:p>
            <w:pPr>
              <w:pStyle w:val="Compact"/>
            </w:pPr>
          </w:p>
        </w:tc>
        <w:tc>
          <w:tcPr/>
          <w:p>
            <w:pPr>
              <w:pStyle w:val="Compact"/>
            </w:pPr>
          </w:p>
        </w:tc>
        <w:tc>
          <w:tcPr/>
          <w:p>
            <w:pPr>
              <w:pStyle w:val="Compact"/>
            </w:pPr>
          </w:p>
        </w:tc>
        <w:tc>
          <w:tcPr/>
          <w:p>
            <w:pPr>
              <w:pStyle w:val="Compact"/>
            </w:pPr>
            <w:r>
              <w:t xml:space="preserve">-0.139 (0.086)</w:t>
            </w:r>
          </w:p>
        </w:tc>
        <w:tc>
          <w:tcPr/>
          <w:p>
            <w:pPr>
              <w:pStyle w:val="Compact"/>
            </w:pPr>
            <w:r>
              <w:t xml:space="preserve">0.870</w:t>
            </w:r>
          </w:p>
        </w:tc>
      </w:tr>
      <w:tr>
        <w:tc>
          <w:tcPr/>
          <w:p>
            <w:pPr>
              <w:pStyle w:val="Compact"/>
            </w:pPr>
            <w:r>
              <w:t xml:space="preserve">dol_demand_met_pct_z</w:t>
            </w:r>
          </w:p>
        </w:tc>
        <w:tc>
          <w:tcPr/>
          <w:p>
            <w:pPr>
              <w:pStyle w:val="Compact"/>
            </w:pPr>
          </w:p>
        </w:tc>
        <w:tc>
          <w:tcPr/>
          <w:p>
            <w:pPr>
              <w:pStyle w:val="Compact"/>
            </w:pPr>
          </w:p>
        </w:tc>
        <w:tc>
          <w:tcPr/>
          <w:p>
            <w:pPr>
              <w:pStyle w:val="Compact"/>
            </w:pPr>
          </w:p>
        </w:tc>
        <w:tc>
          <w:tcPr/>
          <w:p>
            <w:pPr>
              <w:pStyle w:val="Compact"/>
            </w:pPr>
          </w:p>
        </w:tc>
        <w:tc>
          <w:tcPr/>
          <w:p>
            <w:pPr>
              <w:pStyle w:val="Compact"/>
            </w:pPr>
            <w:r>
              <w:t xml:space="preserve">-0.156 (0.221)</w:t>
            </w:r>
          </w:p>
        </w:tc>
        <w:tc>
          <w:tcPr/>
          <w:p>
            <w:pPr>
              <w:pStyle w:val="Compact"/>
            </w:pPr>
            <w:r>
              <w:t xml:space="preserve">0.856</w:t>
            </w:r>
          </w:p>
        </w:tc>
      </w:tr>
      <w:tr>
        <w:tc>
          <w:tcPr/>
          <w:p>
            <w:pPr>
              <w:pStyle w:val="Compact"/>
            </w:pPr>
            <w:r>
              <w:t xml:space="preserve">pct_flc_z</w:t>
            </w:r>
          </w:p>
        </w:tc>
        <w:tc>
          <w:tcPr/>
          <w:p>
            <w:pPr>
              <w:pStyle w:val="Compact"/>
            </w:pPr>
          </w:p>
        </w:tc>
        <w:tc>
          <w:tcPr/>
          <w:p>
            <w:pPr>
              <w:pStyle w:val="Compact"/>
            </w:pPr>
          </w:p>
        </w:tc>
        <w:tc>
          <w:tcPr/>
          <w:p>
            <w:pPr>
              <w:pStyle w:val="Compact"/>
            </w:pPr>
          </w:p>
        </w:tc>
        <w:tc>
          <w:tcPr/>
          <w:p>
            <w:pPr>
              <w:pStyle w:val="Compact"/>
            </w:pPr>
          </w:p>
        </w:tc>
        <w:tc>
          <w:tcPr/>
          <w:p>
            <w:pPr>
              <w:pStyle w:val="Compact"/>
            </w:pPr>
            <w:r>
              <w:t xml:space="preserve">0.259 (0.187)</w:t>
            </w:r>
          </w:p>
        </w:tc>
        <w:tc>
          <w:tcPr/>
          <w:p>
            <w:pPr>
              <w:pStyle w:val="Compact"/>
            </w:pPr>
            <w:r>
              <w:t xml:space="preserve">1.295</w:t>
            </w:r>
          </w:p>
        </w:tc>
      </w:tr>
    </w:tbl>
    <w:bookmarkEnd w:id="25"/>
    <w:bookmarkEnd w:id="26"/>
    <w:bookmarkStart w:id="27" w:name="covid-robustness"/>
    <w:p>
      <w:pPr>
        <w:pStyle w:val="Heading2"/>
      </w:pPr>
      <w:r>
        <w:t xml:space="preserve">COVID robustness</w:t>
      </w:r>
    </w:p>
    <w:p>
      <w:pPr>
        <w:pStyle w:val="FirstParagraph"/>
      </w:pPr>
      <w:r>
        <w:t xml:space="preserve">2020 and 2021 are pandemic years. Each cell’s Model 3 is refit with a 2020-21 indicator, under NB2 at the same random-effects structure. This had to be re-derived rather than carried over: the six-family ladder’s COVID variants sit under ZINB (inspections) and NB1 (violations).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Outcome</w:t>
            </w:r>
          </w:p>
        </w:tc>
        <w:tc>
          <w:tcPr/>
          <w:p>
            <w:pPr>
              <w:pStyle w:val="Compact"/>
            </w:pPr>
            <w:r>
              <w:t xml:space="preserve">covid b (SE)</w:t>
            </w:r>
          </w:p>
        </w:tc>
        <w:tc>
          <w:tcPr/>
          <w:p>
            <w:pPr>
              <w:pStyle w:val="Compact"/>
            </w:pPr>
            <w:r>
              <w:t xml:space="preserve">p</w:t>
            </w:r>
          </w:p>
        </w:tc>
        <w:tc>
          <w:tcPr/>
          <w:p>
            <w:pPr>
              <w:pStyle w:val="Compact"/>
            </w:pPr>
            <w:r>
              <w:t xml:space="preserve">IRR</w:t>
            </w:r>
          </w:p>
        </w:tc>
        <w:tc>
          <w:tcPr/>
          <w:p>
            <w:pPr>
              <w:pStyle w:val="Compact"/>
            </w:pPr>
            <w:r>
              <w:t xml:space="preserve">time p, M3 -&gt; M3+covid</w:t>
            </w:r>
          </w:p>
        </w:tc>
        <w:tc>
          <w:tcPr/>
          <w:p>
            <w:pPr>
              <w:pStyle w:val="Compact"/>
            </w:pPr>
            <w:r>
              <w:t xml:space="preserve">time2 p, M3 -&gt; M3+covid</w:t>
            </w:r>
          </w:p>
        </w:tc>
        <w:tc>
          <w:tcPr/>
          <w:p>
            <w:pPr>
              <w:pStyle w:val="Compact"/>
            </w:pPr>
            <w:r>
              <w:t xml:space="preserve">time3 p, M3 -&gt; M3+covid</w:t>
            </w:r>
          </w:p>
        </w:tc>
      </w:tr>
      <w:tr>
        <w:tc>
          <w:tcPr/>
          <w:p>
            <w:pPr>
              <w:pStyle w:val="Compact"/>
            </w:pPr>
            <w:r>
              <w:t xml:space="preserve">inspections</w:t>
            </w:r>
          </w:p>
        </w:tc>
        <w:tc>
          <w:tcPr/>
          <w:p>
            <w:pPr>
              <w:pStyle w:val="Compact"/>
            </w:pPr>
            <w:r>
              <w:t xml:space="preserve">-0.440 (0.140)**</w:t>
            </w:r>
          </w:p>
        </w:tc>
        <w:tc>
          <w:tcPr/>
          <w:p>
            <w:pPr>
              <w:pStyle w:val="Compact"/>
            </w:pPr>
            <w:r>
              <w:t xml:space="preserve">0.00168</w:t>
            </w:r>
          </w:p>
        </w:tc>
        <w:tc>
          <w:tcPr/>
          <w:p>
            <w:pPr>
              <w:pStyle w:val="Compact"/>
            </w:pPr>
            <w:r>
              <w:t xml:space="preserve">0.644</w:t>
            </w:r>
          </w:p>
        </w:tc>
        <w:tc>
          <w:tcPr/>
          <w:p>
            <w:pPr>
              <w:pStyle w:val="Compact"/>
            </w:pPr>
            <w:r>
              <w:t xml:space="preserve">0.00141 -&gt; 0.0883</w:t>
            </w:r>
          </w:p>
        </w:tc>
        <w:tc>
          <w:tcPr/>
          <w:p>
            <w:pPr>
              <w:pStyle w:val="Compact"/>
            </w:pPr>
            <w:r>
              <w:t xml:space="preserve">0.189 -&gt; 0.0596</w:t>
            </w:r>
          </w:p>
        </w:tc>
        <w:tc>
          <w:tcPr/>
          <w:p>
            <w:pPr>
              <w:pStyle w:val="Compact"/>
            </w:pPr>
            <w:r>
              <w:t xml:space="preserve">0.931 -&gt; 0.0652</w:t>
            </w:r>
          </w:p>
        </w:tc>
      </w:tr>
      <w:tr>
        <w:tc>
          <w:tcPr/>
          <w:p>
            <w:pPr>
              <w:pStyle w:val="Compact"/>
            </w:pPr>
            <w:r>
              <w:t xml:space="preserve">violations</w:t>
            </w:r>
          </w:p>
        </w:tc>
        <w:tc>
          <w:tcPr/>
          <w:p>
            <w:pPr>
              <w:pStyle w:val="Compact"/>
            </w:pPr>
            <w:r>
              <w:t xml:space="preserve">-0.188 (0.247)</w:t>
            </w:r>
          </w:p>
        </w:tc>
        <w:tc>
          <w:tcPr/>
          <w:p>
            <w:pPr>
              <w:pStyle w:val="Compact"/>
            </w:pPr>
            <w:r>
              <w:t xml:space="preserve">0.446</w:t>
            </w:r>
          </w:p>
        </w:tc>
        <w:tc>
          <w:tcPr/>
          <w:p>
            <w:pPr>
              <w:pStyle w:val="Compact"/>
            </w:pPr>
            <w:r>
              <w:t xml:space="preserve">0.829</w:t>
            </w:r>
          </w:p>
        </w:tc>
        <w:tc>
          <w:tcPr/>
          <w:p>
            <w:pPr>
              <w:pStyle w:val="Compact"/>
            </w:pPr>
            <w:r>
              <w:t xml:space="preserve">0.16 -&gt; 0.114</w:t>
            </w:r>
          </w:p>
        </w:tc>
        <w:tc>
          <w:tcPr/>
          <w:p>
            <w:pPr>
              <w:pStyle w:val="Compact"/>
            </w:pPr>
            <w:r>
              <w:t xml:space="preserve">0.000444 -&gt; 0.187</w:t>
            </w:r>
          </w:p>
        </w:tc>
        <w:tc>
          <w:tcPr/>
          <w:p>
            <w:pPr>
              <w:pStyle w:val="Compact"/>
            </w:pPr>
            <w:r>
              <w:t xml:space="preserve">8.13e-05 -&gt; 0.00908</w:t>
            </w:r>
          </w:p>
        </w:tc>
      </w:tr>
    </w:tbl>
    <w:p>
      <w:pPr>
        <w:pStyle w:val="BodyText"/>
      </w:pPr>
      <w:r>
        <w:rPr>
          <w:b/>
          <w:bCs/>
        </w:rPr>
        <w:t xml:space="preserve">How this compares to the ladder’s own COVID variants, which sit under different families.</w:t>
      </w:r>
      <w:r>
        <w:t xml:space="preserve"> </w:t>
      </w:r>
      <w:r>
        <w:t xml:space="preserve">Three separate things are true and they must not be merged:</w:t>
      </w:r>
    </w:p>
    <w:p>
      <w:pPr>
        <w:pStyle w:val="Compact"/>
        <w:numPr>
          <w:ilvl w:val="0"/>
          <w:numId w:val="1004"/>
        </w:numPr>
      </w:pPr>
      <w:r>
        <w:rPr>
          <w:b/>
          <w:bCs/>
        </w:rPr>
        <w:t xml:space="preserve">inspections, the indicator itself:</w:t>
      </w:r>
      <w:r>
        <w:t xml:space="preserve"> </w:t>
      </w:r>
      <w:r>
        <w:t xml:space="preserve">ZINB gives b = -0.4160 (p = 0.00173); NB2 gives b = -0.4397 (p = 0.00168).</w:t>
      </w:r>
    </w:p>
    <w:p>
      <w:pPr>
        <w:pStyle w:val="Compact"/>
        <w:numPr>
          <w:ilvl w:val="0"/>
          <w:numId w:val="1004"/>
        </w:numPr>
      </w:pPr>
      <w:r>
        <w:rPr>
          <w:b/>
          <w:bCs/>
        </w:rPr>
        <w:t xml:space="preserve">inspections, the time trend under the indicator:</w:t>
      </w:r>
      <w:r>
        <w:t xml:space="preserve"> </w:t>
      </w:r>
      <w:r>
        <w:rPr>
          <w:rStyle w:val="VerbatimChar"/>
        </w:rPr>
        <w:t xml:space="preserve">time2</w:t>
      </w:r>
      <w:r>
        <w:t xml:space="preserve"> </w:t>
      </w:r>
      <w:r>
        <w:t xml:space="preserve">moves 0.184 -&gt; 0.0623 under ZINB, and 0.189 -&gt; 0.0596 under NB2.</w:t>
      </w:r>
    </w:p>
    <w:p>
      <w:pPr>
        <w:pStyle w:val="Compact"/>
        <w:numPr>
          <w:ilvl w:val="0"/>
          <w:numId w:val="1004"/>
        </w:numPr>
      </w:pPr>
      <w:r>
        <w:rPr>
          <w:b/>
          <w:bCs/>
        </w:rPr>
        <w:t xml:space="preserve">inspections, before COVID enters at all:</w:t>
      </w:r>
      <w:r>
        <w:t xml:space="preserve"> </w:t>
      </w:r>
      <w:r>
        <w:t xml:space="preserve">the two families agree on Model 3’s own time trend –</w:t>
      </w:r>
      <w:r>
        <w:t xml:space="preserve"> </w:t>
      </w:r>
      <w:r>
        <w:rPr>
          <w:rStyle w:val="VerbatimChar"/>
        </w:rPr>
        <w:t xml:space="preserve">time</w:t>
      </w:r>
      <w:r>
        <w:t xml:space="preserve"> </w:t>
      </w:r>
      <w:r>
        <w:t xml:space="preserve">p = 0.00208 under ZINB against 0.00141 under NB2 and</w:t>
      </w:r>
      <w:r>
        <w:t xml:space="preserve"> </w:t>
      </w:r>
      <w:r>
        <w:rPr>
          <w:rStyle w:val="VerbatimChar"/>
        </w:rPr>
        <w:t xml:space="preserve">time2</w:t>
      </w:r>
      <w:r>
        <w:t xml:space="preserve"> </w:t>
      </w:r>
      <w:r>
        <w:t xml:space="preserve">p = 0.184 under ZINB against 0.189 under NB2. Both families agree:</w:t>
      </w:r>
      <w:r>
        <w:t xml:space="preserve"> </w:t>
      </w:r>
      <w:r>
        <w:rPr>
          <w:rStyle w:val="VerbatimChar"/>
        </w:rPr>
        <w:t xml:space="preserve">time</w:t>
      </w:r>
      <w:r>
        <w:t xml:space="preserve"> </w:t>
      </w:r>
      <w:r>
        <w:t xml:space="preserve">significant under both families,</w:t>
      </w:r>
      <w:r>
        <w:t xml:space="preserve"> </w:t>
      </w:r>
      <w:r>
        <w:rPr>
          <w:rStyle w:val="VerbatimChar"/>
        </w:rPr>
        <w:t xml:space="preserve">time2</w:t>
      </w:r>
      <w:r>
        <w:t xml:space="preserve"> </w:t>
      </w:r>
      <w:r>
        <w:t xml:space="preserve">non-significant under both families.</w:t>
      </w:r>
    </w:p>
    <w:p>
      <w:pPr>
        <w:pStyle w:val="Compact"/>
        <w:numPr>
          <w:ilvl w:val="0"/>
          <w:numId w:val="1004"/>
        </w:numPr>
      </w:pPr>
      <w:r>
        <w:rPr>
          <w:b/>
          <w:bCs/>
        </w:rPr>
        <w:t xml:space="preserve">violations, the indicator itself:</w:t>
      </w:r>
      <w:r>
        <w:t xml:space="preserve"> </w:t>
      </w:r>
      <w:r>
        <w:t xml:space="preserve">NB1 gives b = -0.2786 (p = 0.0964); NB2 gives b = -0.1880 (p = 0.446).</w:t>
      </w:r>
    </w:p>
    <w:p>
      <w:pPr>
        <w:pStyle w:val="Compact"/>
        <w:numPr>
          <w:ilvl w:val="0"/>
          <w:numId w:val="1004"/>
        </w:numPr>
      </w:pPr>
      <w:r>
        <w:rPr>
          <w:b/>
          <w:bCs/>
        </w:rPr>
        <w:t xml:space="preserve">violations, the time trend under the indicator:</w:t>
      </w:r>
      <w:r>
        <w:t xml:space="preserve"> </w:t>
      </w:r>
      <w:r>
        <w:rPr>
          <w:rStyle w:val="VerbatimChar"/>
        </w:rPr>
        <w:t xml:space="preserve">time2</w:t>
      </w:r>
      <w:r>
        <w:t xml:space="preserve"> </w:t>
      </w:r>
      <w:r>
        <w:t xml:space="preserve">moves 1.96e-05 -&gt; 0.262 under NB1, and 0.000444 -&gt; 0.187 under NB2.</w:t>
      </w:r>
    </w:p>
    <w:p>
      <w:pPr>
        <w:pStyle w:val="Compact"/>
        <w:numPr>
          <w:ilvl w:val="0"/>
          <w:numId w:val="1004"/>
        </w:numPr>
      </w:pPr>
      <w:r>
        <w:rPr>
          <w:b/>
          <w:bCs/>
        </w:rPr>
        <w:t xml:space="preserve">violations, before COVID enters at all:</w:t>
      </w:r>
      <w:r>
        <w:t xml:space="preserve"> </w:t>
      </w:r>
      <w:r>
        <w:t xml:space="preserve">the two families disagree on Model 3’s own time trend –</w:t>
      </w:r>
      <w:r>
        <w:t xml:space="preserve"> </w:t>
      </w:r>
      <w:r>
        <w:rPr>
          <w:rStyle w:val="VerbatimChar"/>
        </w:rPr>
        <w:t xml:space="preserve">time</w:t>
      </w:r>
      <w:r>
        <w:t xml:space="preserve"> </w:t>
      </w:r>
      <w:r>
        <w:t xml:space="preserve">p = 0.0129 under NB1 against 0.16 under NB2 and</w:t>
      </w:r>
      <w:r>
        <w:t xml:space="preserve"> </w:t>
      </w:r>
      <w:r>
        <w:rPr>
          <w:rStyle w:val="VerbatimChar"/>
        </w:rPr>
        <w:t xml:space="preserve">time2</w:t>
      </w:r>
      <w:r>
        <w:t xml:space="preserve"> </w:t>
      </w:r>
      <w:r>
        <w:t xml:space="preserve">p = 1.96e-05 under NB1 against 0.000444 under NB2. Significance status (p &lt; .05) flips on</w:t>
      </w:r>
      <w:r>
        <w:t xml:space="preserve"> </w:t>
      </w:r>
      <w:r>
        <w:rPr>
          <w:rStyle w:val="VerbatimChar"/>
        </w:rPr>
        <w:t xml:space="preserve">time</w:t>
      </w:r>
      <w:r>
        <w:t xml:space="preserve">. That gap is a property of the family choice, not of the pandemic.</w:t>
      </w:r>
    </w:p>
    <w:p>
      <w:pPr>
        <w:pStyle w:val="FirstParagraph"/>
      </w:pPr>
      <w:r>
        <w:t xml:space="preserve">The practical consequence for the violations column: the COVID coefficient recorded elsewhere in this project is an NB1 estimate and does not carry over to NB2, while the qualitative caution it supports – that</w:t>
      </w:r>
      <w:r>
        <w:t xml:space="preserve"> </w:t>
      </w:r>
      <w:r>
        <w:rPr>
          <w:rStyle w:val="VerbatimChar"/>
        </w:rPr>
        <w:t xml:space="preserve">time2</w:t>
      </w:r>
      <w:r>
        <w:t xml:space="preserve"> </w:t>
      </w:r>
      <w:r>
        <w:t xml:space="preserve">stops being significant once the indicator enters – does carry over. Cite the number with its family attached.</w:t>
      </w:r>
    </w:p>
    <w:bookmarkEnd w:id="27"/>
    <w:bookmarkStart w:id="30" w:name="cross-software-check"/>
    <w:p>
      <w:pPr>
        <w:pStyle w:val="Heading2"/>
      </w:pPr>
      <w:r>
        <w:t xml:space="preserve">Cross-software check</w:t>
      </w:r>
    </w:p>
    <w:p>
      <w:pPr>
        <w:pStyle w:val="FirstParagraph"/>
      </w:pPr>
      <w:r>
        <w:rPr>
          <w:rStyle w:val="VerbatimChar"/>
        </w:rPr>
        <w:t xml:space="preserve">statsmodels</w:t>
      </w:r>
      <w:r>
        <w:t xml:space="preserve"> </w:t>
      </w:r>
      <w:r>
        <w:t xml:space="preserve">has no multilevel negative binomial, so the independent check fits the same Model-3 fixed effects with</w:t>
      </w:r>
      <w:r>
        <w:t xml:space="preserve"> </w:t>
      </w:r>
      <w:r>
        <w:rPr>
          <w:b/>
          <w:bCs/>
        </w:rPr>
        <w:t xml:space="preserve">state fixed effects</w:t>
      </w:r>
      <w:r>
        <w:t xml:space="preserve"> </w:t>
      </w:r>
      <w:r>
        <w:t xml:space="preserve">(dummies) in place of the random intercept and slope, in a different language and a different implementation. This is not a numerical equivalence test and the estimates are not expected to match: a random-effects estimator shrinks state deviations toward zero and a dummy-variable estimator does not. What is asserted is sign agreement among terms both implementations resolve away from zero (|b| &gt; 2 SE in both). The ratios below are reported for judgement, not thresholded.</w:t>
      </w:r>
    </w:p>
    <w:p>
      <w:pPr>
        <w:pStyle w:val="BodyText"/>
      </w:pPr>
      <w:r>
        <w:rPr>
          <w:b/>
          <w:bCs/>
        </w:rPr>
        <w:t xml:space="preserve">What this check can and cannot cover.</w:t>
      </w:r>
      <w:r>
        <w:t xml:space="preserve"> </w:t>
      </w:r>
      <w:r>
        <w:t xml:space="preserve">State fixed effects absorb any regressor that is constant within a state, so the Level-2 covariates are perfectly collinear with the state dummies and their coefficients are not identified at all under this estimator – the design matrix is rank-deficient by exactly the number of them. They are therefore dropped from the comparison, by name, below. This is a property of fixed-effects estimation, not a shortcoming of either implementation, and it means the cross-check validates the</w:t>
      </w:r>
      <w:r>
        <w:t xml:space="preserve"> </w:t>
      </w:r>
      <w:r>
        <w:rPr>
          <w:b/>
          <w:bCs/>
        </w:rPr>
        <w:t xml:space="preserve">Level-1 (time-varying) terms only</w:t>
      </w:r>
      <w:r>
        <w:t xml:space="preserve">. The Level-2 covariates – the spending, commodity-mix and H-2A-share variables that Models 2 and 3 are built from – are NOT independently confirmed by this check, and no reader should take them as such.</w:t>
      </w:r>
    </w:p>
    <w:p>
      <w:pPr>
        <w:pStyle w:val="BodyText"/>
      </w:pPr>
      <w:r>
        <w:t xml:space="preserve">The zero-inflation cross-check in the six-family pipeline has no counterpart here – an NB2-only arm has no zero-inflation component.</w:t>
      </w:r>
    </w:p>
    <w:bookmarkStart w:id="28" w:name="Xda7b982509a26fc2ac835720761b695e569920b"/>
    <w:p>
      <w:pPr>
        <w:pStyle w:val="Heading3"/>
      </w:pPr>
      <w:r>
        <w:t xml:space="preserve">inspections (insp_2021) – N = 506, 45 state dummies, converged = True</w:t>
      </w:r>
    </w:p>
    <w:p>
      <w:pPr>
        <w:pStyle w:val="FirstParagraph"/>
      </w:pPr>
      <w:r>
        <w:t xml:space="preserve">Absorbed by the state dummies and excluded from the comparison (5):</w:t>
      </w:r>
      <w:r>
        <w:t xml:space="preserve"> </w:t>
      </w:r>
      <w:r>
        <w:rPr>
          <w:rStyle w:val="VerbatimChar"/>
        </w:rPr>
        <w:t xml:space="preserve">SPEND_APP_z</w:t>
      </w:r>
      <w:r>
        <w:t xml:space="preserve">,</w:t>
      </w:r>
      <w:r>
        <w:t xml:space="preserve"> </w:t>
      </w:r>
      <w:r>
        <w:rPr>
          <w:rStyle w:val="VerbatimChar"/>
        </w:rPr>
        <w:t xml:space="preserve">SPEND_WORK_z</w:t>
      </w:r>
      <w:r>
        <w:t xml:space="preserve">,</w:t>
      </w:r>
      <w:r>
        <w:t xml:space="preserve"> </w:t>
      </w:r>
      <w:r>
        <w:rPr>
          <w:rStyle w:val="VerbatimChar"/>
        </w:rPr>
        <w:t xml:space="preserve">dol_demand_met_pct_z</w:t>
      </w:r>
      <w:r>
        <w:t xml:space="preserve">,</w:t>
      </w:r>
      <w:r>
        <w:t xml:space="preserve"> </w:t>
      </w:r>
      <w:r>
        <w:rPr>
          <w:rStyle w:val="VerbatimChar"/>
        </w:rPr>
        <w:t xml:space="preserve">lii_2017_z</w:t>
      </w:r>
      <w:r>
        <w:t xml:space="preserve">,</w:t>
      </w:r>
      <w:r>
        <w:t xml:space="preserve"> </w:t>
      </w:r>
      <w:r>
        <w:rPr>
          <w:rStyle w:val="VerbatimChar"/>
        </w:rPr>
        <w:t xml:space="preserve">pct_flc_z</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w:r>
              <w:t xml:space="preserve">b (statsmodels FE)</w:t>
            </w:r>
          </w:p>
        </w:tc>
        <w:tc>
          <w:tcPr/>
          <w:p>
            <w:pPr>
              <w:pStyle w:val="Compact"/>
            </w:pPr>
            <w:r>
              <w:t xml:space="preserve">b (glmmTMB RE)</w:t>
            </w:r>
          </w:p>
        </w:tc>
        <w:tc>
          <w:tcPr/>
          <w:p>
            <w:pPr>
              <w:pStyle w:val="Compact"/>
            </w:pPr>
            <w:r>
              <w:t xml:space="preserve">ratio</w:t>
            </w:r>
          </w:p>
        </w:tc>
        <w:tc>
          <w:tcPr/>
          <w:p>
            <w:pPr>
              <w:pStyle w:val="Compact"/>
            </w:pPr>
            <w:r>
              <w:t xml:space="preserve">both distinguishable from 0</w:t>
            </w:r>
          </w:p>
        </w:tc>
        <w:tc>
          <w:tcPr/>
          <w:p>
            <w:pPr>
              <w:pStyle w:val="Compact"/>
            </w:pPr>
            <w:r>
              <w:t xml:space="preserve">sign</w:t>
            </w:r>
          </w:p>
        </w:tc>
      </w:tr>
      <w:tr>
        <w:tc>
          <w:tcPr/>
          <w:p>
            <w:pPr>
              <w:pStyle w:val="Compact"/>
            </w:pPr>
            <w:r>
              <w:t xml:space="preserve">time</w:t>
            </w:r>
          </w:p>
        </w:tc>
        <w:tc>
          <w:tcPr/>
          <w:p>
            <w:pPr>
              <w:pStyle w:val="Compact"/>
            </w:pPr>
            <w:r>
              <w:t xml:space="preserve">-0.0578</w:t>
            </w:r>
          </w:p>
        </w:tc>
        <w:tc>
          <w:tcPr/>
          <w:p>
            <w:pPr>
              <w:pStyle w:val="Compact"/>
            </w:pPr>
            <w:r>
              <w:t xml:space="preserve">-0.0611</w:t>
            </w:r>
          </w:p>
        </w:tc>
        <w:tc>
          <w:tcPr/>
          <w:p>
            <w:pPr>
              <w:pStyle w:val="Compact"/>
            </w:pPr>
            <w:r>
              <w:t xml:space="preserve">0.947</w:t>
            </w:r>
          </w:p>
        </w:tc>
        <w:tc>
          <w:tcPr/>
          <w:p>
            <w:pPr>
              <w:pStyle w:val="Compact"/>
            </w:pPr>
            <w:r>
              <w:t xml:space="preserve">yes</w:t>
            </w:r>
          </w:p>
        </w:tc>
        <w:tc>
          <w:tcPr/>
          <w:p>
            <w:pPr>
              <w:pStyle w:val="Compact"/>
            </w:pPr>
            <w:r>
              <w:t xml:space="preserve">agrees</w:t>
            </w:r>
          </w:p>
        </w:tc>
      </w:tr>
      <w:tr>
        <w:tc>
          <w:tcPr/>
          <w:p>
            <w:pPr>
              <w:pStyle w:val="Compact"/>
            </w:pPr>
            <w:r>
              <w:t xml:space="preserve">time2</w:t>
            </w:r>
          </w:p>
        </w:tc>
        <w:tc>
          <w:tcPr/>
          <w:p>
            <w:pPr>
              <w:pStyle w:val="Compact"/>
            </w:pPr>
            <w:r>
              <w:t xml:space="preserve">-0.0027</w:t>
            </w:r>
          </w:p>
        </w:tc>
        <w:tc>
          <w:tcPr/>
          <w:p>
            <w:pPr>
              <w:pStyle w:val="Compact"/>
            </w:pPr>
            <w:r>
              <w:t xml:space="preserve">-0.0047</w:t>
            </w:r>
          </w:p>
        </w:tc>
        <w:tc>
          <w:tcPr/>
          <w:p>
            <w:pPr>
              <w:pStyle w:val="Compact"/>
            </w:pPr>
            <w:r>
              <w:t xml:space="preserve">0.580</w:t>
            </w:r>
          </w:p>
        </w:tc>
        <w:tc>
          <w:tcPr/>
          <w:p>
            <w:pPr>
              <w:pStyle w:val="Compact"/>
            </w:pPr>
            <w:r>
              <w:t xml:space="preserve">no</w:t>
            </w:r>
          </w:p>
        </w:tc>
        <w:tc>
          <w:tcPr/>
          <w:p>
            <w:pPr>
              <w:pStyle w:val="Compact"/>
            </w:pPr>
            <w:r>
              <w:t xml:space="preserve">agrees</w:t>
            </w:r>
          </w:p>
        </w:tc>
      </w:tr>
      <w:tr>
        <w:tc>
          <w:tcPr/>
          <w:p>
            <w:pPr>
              <w:pStyle w:val="Compact"/>
            </w:pPr>
            <w:r>
              <w:t xml:space="preserve">time3</w:t>
            </w:r>
          </w:p>
        </w:tc>
        <w:tc>
          <w:tcPr/>
          <w:p>
            <w:pPr>
              <w:pStyle w:val="Compact"/>
            </w:pPr>
            <w:r>
              <w:t xml:space="preserve">0.0001</w:t>
            </w:r>
          </w:p>
        </w:tc>
        <w:tc>
          <w:tcPr/>
          <w:p>
            <w:pPr>
              <w:pStyle w:val="Compact"/>
            </w:pPr>
            <w:r>
              <w:t xml:space="preserve">-0.0001</w:t>
            </w:r>
          </w:p>
        </w:tc>
        <w:tc>
          <w:tcPr/>
          <w:p>
            <w:pPr>
              <w:pStyle w:val="Compact"/>
            </w:pPr>
            <w:r>
              <w:t xml:space="preserve">-1.604</w:t>
            </w:r>
          </w:p>
        </w:tc>
        <w:tc>
          <w:tcPr/>
          <w:p>
            <w:pPr>
              <w:pStyle w:val="Compact"/>
            </w:pPr>
            <w:r>
              <w:t xml:space="preserve">no</w:t>
            </w:r>
          </w:p>
        </w:tc>
        <w:tc>
          <w:tcPr/>
          <w:p>
            <w:pPr>
              <w:pStyle w:val="Compact"/>
            </w:pPr>
            <w:r>
              <w:t xml:space="preserve">DIFFERS</w:t>
            </w:r>
          </w:p>
        </w:tc>
      </w:tr>
      <w:tr>
        <w:tc>
          <w:tcPr/>
          <w:p>
            <w:pPr>
              <w:pStyle w:val="Compact"/>
            </w:pPr>
            <w:r>
              <w:t xml:space="preserve">h2a_per_farmworker_z</w:t>
            </w:r>
          </w:p>
        </w:tc>
        <w:tc>
          <w:tcPr/>
          <w:p>
            <w:pPr>
              <w:pStyle w:val="Compact"/>
            </w:pPr>
            <w:r>
              <w:t xml:space="preserve">0.0991</w:t>
            </w:r>
          </w:p>
        </w:tc>
        <w:tc>
          <w:tcPr/>
          <w:p>
            <w:pPr>
              <w:pStyle w:val="Compact"/>
            </w:pPr>
            <w:r>
              <w:t xml:space="preserve">0.0675</w:t>
            </w:r>
          </w:p>
        </w:tc>
        <w:tc>
          <w:tcPr/>
          <w:p>
            <w:pPr>
              <w:pStyle w:val="Compact"/>
            </w:pPr>
            <w:r>
              <w:t xml:space="preserve">1.468</w:t>
            </w:r>
          </w:p>
        </w:tc>
        <w:tc>
          <w:tcPr/>
          <w:p>
            <w:pPr>
              <w:pStyle w:val="Compact"/>
            </w:pPr>
            <w:r>
              <w:t xml:space="preserve">no</w:t>
            </w:r>
          </w:p>
        </w:tc>
        <w:tc>
          <w:tcPr/>
          <w:p>
            <w:pPr>
              <w:pStyle w:val="Compact"/>
            </w:pPr>
            <w:r>
              <w:t xml:space="preserve">agrees</w:t>
            </w:r>
          </w:p>
        </w:tc>
      </w:tr>
    </w:tbl>
    <w:bookmarkEnd w:id="28"/>
    <w:bookmarkStart w:id="29" w:name="X871a0d865a670c0b077dcf9bb7d1f63c1ca0c11"/>
    <w:p>
      <w:pPr>
        <w:pStyle w:val="Heading3"/>
      </w:pPr>
      <w:r>
        <w:t xml:space="preserve">violations (viol_cov_2021) – N = 501, 45 state dummies, converged = True</w:t>
      </w:r>
    </w:p>
    <w:p>
      <w:pPr>
        <w:pStyle w:val="FirstParagraph"/>
      </w:pPr>
      <w:r>
        <w:t xml:space="preserve">Absorbed by the state dummies and excluded from the comparison (5):</w:t>
      </w:r>
      <w:r>
        <w:t xml:space="preserve"> </w:t>
      </w:r>
      <w:r>
        <w:rPr>
          <w:rStyle w:val="VerbatimChar"/>
        </w:rPr>
        <w:t xml:space="preserve">SPEND_APP_z</w:t>
      </w:r>
      <w:r>
        <w:t xml:space="preserve">,</w:t>
      </w:r>
      <w:r>
        <w:t xml:space="preserve"> </w:t>
      </w:r>
      <w:r>
        <w:rPr>
          <w:rStyle w:val="VerbatimChar"/>
        </w:rPr>
        <w:t xml:space="preserve">SPEND_WORK_z</w:t>
      </w:r>
      <w:r>
        <w:t xml:space="preserve">,</w:t>
      </w:r>
      <w:r>
        <w:t xml:space="preserve"> </w:t>
      </w:r>
      <w:r>
        <w:rPr>
          <w:rStyle w:val="VerbatimChar"/>
        </w:rPr>
        <w:t xml:space="preserve">dol_demand_met_pct_z</w:t>
      </w:r>
      <w:r>
        <w:t xml:space="preserve">,</w:t>
      </w:r>
      <w:r>
        <w:t xml:space="preserve"> </w:t>
      </w:r>
      <w:r>
        <w:rPr>
          <w:rStyle w:val="VerbatimChar"/>
        </w:rPr>
        <w:t xml:space="preserve">lii_2017_z</w:t>
      </w:r>
      <w:r>
        <w:t xml:space="preserve">,</w:t>
      </w:r>
      <w:r>
        <w:t xml:space="preserve"> </w:t>
      </w:r>
      <w:r>
        <w:rPr>
          <w:rStyle w:val="VerbatimChar"/>
        </w:rPr>
        <w:t xml:space="preserve">pct_flc_z</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w:r>
              <w:t xml:space="preserve">b (statsmodels FE)</w:t>
            </w:r>
          </w:p>
        </w:tc>
        <w:tc>
          <w:tcPr/>
          <w:p>
            <w:pPr>
              <w:pStyle w:val="Compact"/>
            </w:pPr>
            <w:r>
              <w:t xml:space="preserve">b (glmmTMB RE)</w:t>
            </w:r>
          </w:p>
        </w:tc>
        <w:tc>
          <w:tcPr/>
          <w:p>
            <w:pPr>
              <w:pStyle w:val="Compact"/>
            </w:pPr>
            <w:r>
              <w:t xml:space="preserve">ratio</w:t>
            </w:r>
          </w:p>
        </w:tc>
        <w:tc>
          <w:tcPr/>
          <w:p>
            <w:pPr>
              <w:pStyle w:val="Compact"/>
            </w:pPr>
            <w:r>
              <w:t xml:space="preserve">both distinguishable from 0</w:t>
            </w:r>
          </w:p>
        </w:tc>
        <w:tc>
          <w:tcPr/>
          <w:p>
            <w:pPr>
              <w:pStyle w:val="Compact"/>
            </w:pPr>
            <w:r>
              <w:t xml:space="preserve">sign</w:t>
            </w:r>
          </w:p>
        </w:tc>
      </w:tr>
      <w:tr>
        <w:tc>
          <w:tcPr/>
          <w:p>
            <w:pPr>
              <w:pStyle w:val="Compact"/>
            </w:pPr>
            <w:r>
              <w:t xml:space="preserve">log_inspections</w:t>
            </w:r>
          </w:p>
        </w:tc>
        <w:tc>
          <w:tcPr/>
          <w:p>
            <w:pPr>
              <w:pStyle w:val="Compact"/>
            </w:pPr>
            <w:r>
              <w:t xml:space="preserve">0.7231</w:t>
            </w:r>
          </w:p>
        </w:tc>
        <w:tc>
          <w:tcPr/>
          <w:p>
            <w:pPr>
              <w:pStyle w:val="Compact"/>
            </w:pPr>
            <w:r>
              <w:t xml:space="preserve">0.7265</w:t>
            </w:r>
          </w:p>
        </w:tc>
        <w:tc>
          <w:tcPr/>
          <w:p>
            <w:pPr>
              <w:pStyle w:val="Compact"/>
            </w:pPr>
            <w:r>
              <w:t xml:space="preserve">0.995</w:t>
            </w:r>
          </w:p>
        </w:tc>
        <w:tc>
          <w:tcPr/>
          <w:p>
            <w:pPr>
              <w:pStyle w:val="Compact"/>
            </w:pPr>
            <w:r>
              <w:t xml:space="preserve">yes</w:t>
            </w:r>
          </w:p>
        </w:tc>
        <w:tc>
          <w:tcPr/>
          <w:p>
            <w:pPr>
              <w:pStyle w:val="Compact"/>
            </w:pPr>
            <w:r>
              <w:t xml:space="preserve">agrees</w:t>
            </w:r>
          </w:p>
        </w:tc>
      </w:tr>
      <w:tr>
        <w:tc>
          <w:tcPr/>
          <w:p>
            <w:pPr>
              <w:pStyle w:val="Compact"/>
            </w:pPr>
            <w:r>
              <w:t xml:space="preserve">time</w:t>
            </w:r>
          </w:p>
        </w:tc>
        <w:tc>
          <w:tcPr/>
          <w:p>
            <w:pPr>
              <w:pStyle w:val="Compact"/>
            </w:pPr>
            <w:r>
              <w:t xml:space="preserve">0.0830</w:t>
            </w:r>
          </w:p>
        </w:tc>
        <w:tc>
          <w:tcPr/>
          <w:p>
            <w:pPr>
              <w:pStyle w:val="Compact"/>
            </w:pPr>
            <w:r>
              <w:t xml:space="preserve">0.0507</w:t>
            </w:r>
          </w:p>
        </w:tc>
        <w:tc>
          <w:tcPr/>
          <w:p>
            <w:pPr>
              <w:pStyle w:val="Compact"/>
            </w:pPr>
            <w:r>
              <w:t xml:space="preserve">1.638</w:t>
            </w:r>
          </w:p>
        </w:tc>
        <w:tc>
          <w:tcPr/>
          <w:p>
            <w:pPr>
              <w:pStyle w:val="Compact"/>
            </w:pPr>
            <w:r>
              <w:t xml:space="preserve">no</w:t>
            </w:r>
          </w:p>
        </w:tc>
        <w:tc>
          <w:tcPr/>
          <w:p>
            <w:pPr>
              <w:pStyle w:val="Compact"/>
            </w:pPr>
            <w:r>
              <w:t xml:space="preserve">agrees</w:t>
            </w:r>
          </w:p>
        </w:tc>
      </w:tr>
      <w:tr>
        <w:tc>
          <w:tcPr/>
          <w:p>
            <w:pPr>
              <w:pStyle w:val="Compact"/>
            </w:pPr>
            <w:r>
              <w:t xml:space="preserve">time2</w:t>
            </w:r>
          </w:p>
        </w:tc>
        <w:tc>
          <w:tcPr/>
          <w:p>
            <w:pPr>
              <w:pStyle w:val="Compact"/>
            </w:pPr>
            <w:r>
              <w:t xml:space="preserve">-0.0153</w:t>
            </w:r>
          </w:p>
        </w:tc>
        <w:tc>
          <w:tcPr/>
          <w:p>
            <w:pPr>
              <w:pStyle w:val="Compact"/>
            </w:pPr>
            <w:r>
              <w:t xml:space="preserve">-0.0226</w:t>
            </w:r>
          </w:p>
        </w:tc>
        <w:tc>
          <w:tcPr/>
          <w:p>
            <w:pPr>
              <w:pStyle w:val="Compact"/>
            </w:pPr>
            <w:r>
              <w:t xml:space="preserve">0.678</w:t>
            </w:r>
          </w:p>
        </w:tc>
        <w:tc>
          <w:tcPr/>
          <w:p>
            <w:pPr>
              <w:pStyle w:val="Compact"/>
            </w:pPr>
            <w:r>
              <w:t xml:space="preserve">yes</w:t>
            </w:r>
          </w:p>
        </w:tc>
        <w:tc>
          <w:tcPr/>
          <w:p>
            <w:pPr>
              <w:pStyle w:val="Compact"/>
            </w:pPr>
            <w:r>
              <w:t xml:space="preserve">agrees</w:t>
            </w:r>
          </w:p>
        </w:tc>
      </w:tr>
      <w:tr>
        <w:tc>
          <w:tcPr/>
          <w:p>
            <w:pPr>
              <w:pStyle w:val="Compact"/>
            </w:pPr>
            <w:r>
              <w:t xml:space="preserve">time3</w:t>
            </w:r>
          </w:p>
        </w:tc>
        <w:tc>
          <w:tcPr/>
          <w:p>
            <w:pPr>
              <w:pStyle w:val="Compact"/>
            </w:pPr>
            <w:r>
              <w:t xml:space="preserve">-0.0057</w:t>
            </w:r>
          </w:p>
        </w:tc>
        <w:tc>
          <w:tcPr/>
          <w:p>
            <w:pPr>
              <w:pStyle w:val="Compact"/>
            </w:pPr>
            <w:r>
              <w:t xml:space="preserve">-0.0060</w:t>
            </w:r>
          </w:p>
        </w:tc>
        <w:tc>
          <w:tcPr/>
          <w:p>
            <w:pPr>
              <w:pStyle w:val="Compact"/>
            </w:pPr>
            <w:r>
              <w:t xml:space="preserve">0.947</w:t>
            </w:r>
          </w:p>
        </w:tc>
        <w:tc>
          <w:tcPr/>
          <w:p>
            <w:pPr>
              <w:pStyle w:val="Compact"/>
            </w:pPr>
            <w:r>
              <w:t xml:space="preserve">yes</w:t>
            </w:r>
          </w:p>
        </w:tc>
        <w:tc>
          <w:tcPr/>
          <w:p>
            <w:pPr>
              <w:pStyle w:val="Compact"/>
            </w:pPr>
            <w:r>
              <w:t xml:space="preserve">agrees</w:t>
            </w:r>
          </w:p>
        </w:tc>
      </w:tr>
      <w:tr>
        <w:tc>
          <w:tcPr/>
          <w:p>
            <w:pPr>
              <w:pStyle w:val="Compact"/>
            </w:pPr>
            <w:r>
              <w:t xml:space="preserve">h2a_per_farmworker_z</w:t>
            </w:r>
          </w:p>
        </w:tc>
        <w:tc>
          <w:tcPr/>
          <w:p>
            <w:pPr>
              <w:pStyle w:val="Compact"/>
            </w:pPr>
            <w:r>
              <w:t xml:space="preserve">-0.1401</w:t>
            </w:r>
          </w:p>
        </w:tc>
        <w:tc>
          <w:tcPr/>
          <w:p>
            <w:pPr>
              <w:pStyle w:val="Compact"/>
            </w:pPr>
            <w:r>
              <w:t xml:space="preserve">-0.1389</w:t>
            </w:r>
          </w:p>
        </w:tc>
        <w:tc>
          <w:tcPr/>
          <w:p>
            <w:pPr>
              <w:pStyle w:val="Compact"/>
            </w:pPr>
            <w:r>
              <w:t xml:space="preserve">1.009</w:t>
            </w:r>
          </w:p>
        </w:tc>
        <w:tc>
          <w:tcPr/>
          <w:p>
            <w:pPr>
              <w:pStyle w:val="Compact"/>
            </w:pPr>
            <w:r>
              <w:t xml:space="preserve">no</w:t>
            </w:r>
          </w:p>
        </w:tc>
        <w:tc>
          <w:tcPr/>
          <w:p>
            <w:pPr>
              <w:pStyle w:val="Compact"/>
            </w:pPr>
            <w:r>
              <w:t xml:space="preserve">agrees</w:t>
            </w:r>
          </w:p>
        </w:tc>
      </w:tr>
    </w:tbl>
    <w:bookmarkEnd w:id="29"/>
    <w:bookmarkEnd w:id="30"/>
    <w:bookmarkStart w:id="31" w:name="caveats"/>
    <w:p>
      <w:pPr>
        <w:pStyle w:val="Heading2"/>
      </w:pPr>
      <w:r>
        <w:t xml:space="preserve">Caveats</w:t>
      </w:r>
    </w:p>
    <w:p>
      <w:pPr>
        <w:pStyle w:val="Compact"/>
        <w:numPr>
          <w:ilvl w:val="0"/>
          <w:numId w:val="1005"/>
        </w:numPr>
      </w:pPr>
      <w:r>
        <w:t xml:space="preserve">NB2 is an editorial choice and loses on AIC to the selected family at every rung. See the first section.</w:t>
      </w:r>
    </w:p>
    <w:p>
      <w:pPr>
        <w:pStyle w:val="Compact"/>
        <w:numPr>
          <w:ilvl w:val="0"/>
          <w:numId w:val="1005"/>
        </w:numPr>
      </w:pPr>
      <w:r>
        <w:t xml:space="preserve">Every variance is on the log link scale.</w:t>
      </w:r>
    </w:p>
    <w:p>
      <w:pPr>
        <w:pStyle w:val="Compact"/>
        <w:numPr>
          <w:ilvl w:val="0"/>
          <w:numId w:val="1005"/>
        </w:numPr>
      </w:pPr>
      <w:r>
        <w:t xml:space="preserve">Model 1 has 49 states; Models 2 and 3 have 46. Read both reduction columns.</w:t>
      </w:r>
    </w:p>
    <w:p>
      <w:pPr>
        <w:pStyle w:val="Compact"/>
        <w:numPr>
          <w:ilvl w:val="0"/>
          <w:numId w:val="1005"/>
        </w:numPr>
      </w:pPr>
      <w:r>
        <w:t xml:space="preserve">The ICC is a link-scale approximation, not the project’s Gaussian-LMM ICC.</w:t>
      </w:r>
    </w:p>
    <w:p>
      <w:pPr>
        <w:pStyle w:val="Compact"/>
        <w:numPr>
          <w:ilvl w:val="0"/>
          <w:numId w:val="1005"/>
        </w:numPr>
      </w:pPr>
      <w:r>
        <w:t xml:space="preserve">This arm covers the 2011-2021 WPS-view window only. It does not fit the 2011-2019 establishments window or the violations-as-offset specification.</w:t>
      </w:r>
    </w:p>
    <w:p>
      <w:pPr>
        <w:pStyle w:val="Compact"/>
        <w:numPr>
          <w:ilvl w:val="0"/>
          <w:numId w:val="1005"/>
        </w:numPr>
      </w:pPr>
      <w:r>
        <w:t xml:space="preserve">No manuscript</w:t>
      </w:r>
      <w:r>
        <w:t xml:space="preserve"> </w:t>
      </w:r>
      <w:r>
        <w:rPr>
          <w:rStyle w:val="VerbatimChar"/>
        </w:rPr>
        <w:t xml:space="preserve">.docx</w:t>
      </w:r>
      <w:r>
        <w:t xml:space="preserve"> </w:t>
      </w:r>
      <w:r>
        <w:t xml:space="preserve">is produced by this arm, but three have since been regenerated by other work (</w:t>
      </w:r>
      <w:r>
        <w:rPr>
          <w:rStyle w:val="VerbatimChar"/>
        </w:rPr>
        <w:t xml:space="preserve">WPS_Table_Sheels_augmented.docx</w:t>
      </w:r>
      <w:r>
        <w:t xml:space="preserve">,</w:t>
      </w:r>
      <w:r>
        <w:t xml:space="preserve"> </w:t>
      </w:r>
      <w:r>
        <w:rPr>
          <w:rStyle w:val="VerbatimChar"/>
        </w:rPr>
        <w:t xml:space="preserve">WPS_Table_Sheels_augmented_2021.docx</w:t>
      </w:r>
      <w:r>
        <w:t xml:space="preserve">,</w:t>
      </w:r>
      <w:r>
        <w:t xml:space="preserve"> </w:t>
      </w:r>
      <w:r>
        <w:rPr>
          <w:rStyle w:val="VerbatimChar"/>
        </w:rPr>
        <w:t xml:space="preserve">WPS_Table_Sheels_filled_corrected.docx</w:t>
      </w:r>
      <w:r>
        <w:t xml:space="preserve">) – so those tables and this memo are not from the same run. That regeneration was the convergence fix to the log-linear table scripts, which is unrelated to the models reported here.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2026-08-31T09:15:04Z</dcterms:created>
  <dcterms:modified xsi:type="dcterms:W3CDTF">2026-08-31T09:15:04Z</dcterms:modified>
</cp:coreProperties>
</file>

<file path=docProps/custom.xml><?xml version="1.0" encoding="utf-8"?>
<Properties xmlns="http://schemas.openxmlformats.org/officeDocument/2006/custom-properties" xmlns:vt="http://schemas.openxmlformats.org/officeDocument/2006/docPropsVTypes"/>
</file>