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WPS Enforcement Multilevel Models, 2011–2019 (augmented)</w:t>
      </w:r>
    </w:p>
    <w:p>
      <w:r>
        <w:rPr>
          <w:b/>
        </w:rPr>
        <w:t>Table 2. WPS Inspections</w:t>
      </w:r>
    </w:p>
    <w:p>
      <w:r>
        <w:t>DV = log(inspections + 1). Random intercept + random linear-time slope by state (REML).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/>
                <w:sz w:val="18"/>
              </w:rPr>
              <w:t>Model 1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/>
                <w:sz w:val="18"/>
              </w:rPr>
              <w:t>Model 2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/>
                <w:sz w:val="18"/>
              </w:rPr>
              <w:t>Model 3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/>
                <w:sz w:val="18"/>
              </w:rPr>
              <w:t>Predictor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(SE)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(SE)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(SE)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β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Time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-0.069*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(0.034)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-0.169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-0.076***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(0.021)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-0.216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-0.078***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(0.022)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-0.220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Time²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-0.018+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(0.010)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-0.202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-0.018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(0.011)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-0.230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-0.018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(0.011)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-0.230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Time³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-0.002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(0.002)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-0.107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-0.001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(0.002)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-0.110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-0.001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(0.002)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-0.107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Spending/applicator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-0.276*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(0.114)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-0.299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-0.259*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(0.128)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-0.280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Spending/farmworker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-0.113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(0.157)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-0.092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-0.119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(0.161)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-0.097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Labor Intensity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-0.204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(0.174)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-0.142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-0.192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(0.181)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-0.134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H-2A farmworkers:BLS farmworkers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0.024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(0.059)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0.026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H-2A Authorized/H-2A Requested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0.028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(0.146)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0.029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%H-2A Authorized to FLC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0.058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(0.139)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0.063</w:t>
            </w:r>
          </w:p>
        </w:tc>
      </w:tr>
      <w:tr>
        <w:tc>
          <w:tcPr>
            <w:tcW w:type="dxa" w:w="8640"/>
            <w:gridSpan w:val="10"/>
          </w:tcPr>
          <w:p>
            <w:pPr>
              <w:jc w:val="left"/>
            </w:pPr>
            <w:r/>
            <w:r>
              <w:rPr>
                <w:b/>
                <w:sz w:val="18"/>
              </w:rPr>
              <w:t>State-to-State Variation  (original → became)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 xml:space="preserve">  σ²_u0  (between-state intercept)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1.094 → 1.094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0.660 → 0.612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0.660 → 0.630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 xml:space="preserve">  σ²_u1  (between-state time slope)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0.046 → 0.046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0.008 → 0.008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0.008 → 0.008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 xml:space="preserve">  σ_u01  (intercept–slope covariance)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0.034 → 0.034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0.024 → 0.028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0.024 → 0.028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 xml:space="preserve">  σ²_e   (within-state residual)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0.165 → 0.165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0.191 → 0.191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0.191 → 0.192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 xml:space="preserve">  Δ σ²_u0 (reduction vs baseline)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7.3%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4.6%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 xml:space="preserve">  N (state-years / states)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450 / 50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423 / 47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423 / 47</w:t>
            </w:r>
          </w:p>
        </w:tc>
      </w:tr>
    </w:tbl>
    <w:p/>
    <w:p>
      <w:r>
        <w:rPr>
          <w:b/>
        </w:rPr>
        <w:t>Table 3. WPS Violations</w:t>
      </w:r>
    </w:p>
    <w:p>
      <w:r>
        <w:t>DV = log(violations + 1). Random intercept + random linear-time slope by state (REML).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/>
                <w:sz w:val="18"/>
              </w:rPr>
              <w:t>Model 1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/>
                <w:sz w:val="18"/>
              </w:rPr>
              <w:t>Model 2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/>
                <w:sz w:val="18"/>
              </w:rPr>
              <w:t>Model 3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/>
                <w:sz w:val="18"/>
              </w:rPr>
              <w:t>Predictor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(SE)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(SE)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(SE)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β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log(Inspections+1)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0.222***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(0.058)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0.217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0.172**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(0.061)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0.156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0.189**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(0.060)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0.172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Time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0.210***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(0.024)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0.541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0.206***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(0.024)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0.543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0.209***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(0.025)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0.553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Time²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-0.021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(0.014)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-0.250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-0.025+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(0.014)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-0.298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-0.025+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(0.014)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-0.305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Time³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-0.007***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(0.002)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-0.536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-0.008***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(0.002)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-0.574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-0.008***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(0.002)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-0.582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Spending/applicator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-0.159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(0.108)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-0.154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-0.072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(0.101)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-0.070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Spending/farmworker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-0.315*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(0.145)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-0.203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-0.319*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(0.126)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-0.205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Labor Intensity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0.039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(0.163)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0.025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0.017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(0.141)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0.011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H-2A farmworkers:BLS farmworkers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-0.032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(0.068)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-0.028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H-2A Authorized/H-2A Requested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0.134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(0.115)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0.127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%H-2A Authorized to FLC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0.358***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(0.106)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0.358</w:t>
            </w:r>
          </w:p>
        </w:tc>
      </w:tr>
      <w:tr>
        <w:tc>
          <w:tcPr>
            <w:tcW w:type="dxa" w:w="8640"/>
            <w:gridSpan w:val="10"/>
          </w:tcPr>
          <w:p>
            <w:pPr>
              <w:jc w:val="left"/>
            </w:pPr>
            <w:r/>
            <w:r>
              <w:rPr>
                <w:b/>
                <w:sz w:val="18"/>
              </w:rPr>
              <w:t>State-to-State Variation  (original → became)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 xml:space="preserve">  σ²_u0  (between-state intercept)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0.632 → 0.632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0.636 → 0.715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0.636 → 0.402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 xml:space="preserve">  σ²_u1  (between-state time slope)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0.004 → 0.004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0.004 → 0.005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0.004 → 0.004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 xml:space="preserve">  σ_u01  (intercept–slope covariance)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0.036 → 0.036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0.035 → 0.047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0.035 → 0.026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 xml:space="preserve">  σ²_e   (within-state residual)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0.296 → 0.296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0.301 → 0.295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0.301 → 0.302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 xml:space="preserve">  Δ σ²_u0 (reduction vs baseline)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-12.5%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36.8%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 xml:space="preserve">  N (state-years / states)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394 / 50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378 / 47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378 / 47</w:t>
            </w:r>
          </w:p>
        </w:tc>
      </w:tr>
    </w:tbl>
    <w:p/>
    <w:p>
      <w:r>
        <w:rPr>
          <w:b/>
        </w:rPr>
        <w:t xml:space="preserve">Note. </w:t>
      </w:r>
      <w:r>
        <w:t>Each model reports the unstandardized coefficient b, its standard error (SE), and the fully standardized coefficient β = b·SD(x)/SD(y), with SDs taken on that column's own analytic sample. β for the time polynomials and log(Inspections+1) is reported for completeness but is of limited interpretive value. The State-to-State Variation block shows each random-effects component as the value under a time-only baseline (re-estimated on the same sample) → the value under the fitted model; Δ σ²_u0 is the percent reduction in between-state intercept variance. A negative Δ (e.g., Violations Model 2) means the added Level-2 predictors raised between-state intercept variance on that sample — a genuine suppression/reallocation effect given the correlated random slope, not a sign error. Both outcomes are log(count+1); the violations model includes log(inspections+1) as a contemporaneous predictor. Spending variables use mean 2011–2019 STAG obligations over mean 2011–2019 BLS employment; MS/RI/WV (like HI/TN/UT) received no CFDA 66.700 obligations and are coded $0. AK/RI/VT drop from Spending/applicator columns (BLS never publishes SOC 37-3012 for them), giving N=47 states. + p&lt;.10, * p&lt;.05, ** p&lt;.01, *** p&lt;.001.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