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results-count_models_zinb.r"/>
    <w:p>
      <w:pPr>
        <w:pStyle w:val="Heading1"/>
      </w:pPr>
      <w:r>
        <w:t xml:space="preserve">Results —</w:t>
      </w:r>
      <w:r>
        <w:t xml:space="preserve"> </w:t>
      </w:r>
      <w:r>
        <w:rPr>
          <w:rStyle w:val="VerbatimChar"/>
        </w:rPr>
        <w:t xml:space="preserve">count_models_zinb.R</w:t>
      </w:r>
    </w:p>
    <w:p>
      <w:pPr>
        <w:pStyle w:val="FirstParagraph"/>
      </w:pPr>
      <w:r>
        <w:rPr>
          <w:b/>
          <w:bCs/>
        </w:rPr>
        <w:t xml:space="preserve">Outcomes:</w:t>
      </w:r>
      <w:r>
        <w:t xml:space="preserve"> </w:t>
      </w:r>
      <w:r>
        <w:t xml:space="preserve">WPS violations and inspections per state-year, as</w:t>
      </w:r>
      <w:r>
        <w:t xml:space="preserve"> </w:t>
      </w:r>
      <w:r>
        <w:rPr>
          <w:b/>
          <w:bCs/>
        </w:rPr>
        <w:t xml:space="preserve">raw counts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log(x+1)</w:t>
      </w:r>
      <w:r>
        <w:t xml:space="preserve">).</w:t>
      </w:r>
      <w:r>
        <w:t xml:space="preserve"> </w:t>
      </w:r>
      <w:r>
        <w:rPr>
          <w:b/>
          <w:bCs/>
        </w:rPr>
        <w:t xml:space="preserve">Windows:</w:t>
      </w:r>
      <w:r>
        <w:t xml:space="preserve"> </w:t>
      </w:r>
      <w:r>
        <w:t xml:space="preserve">2011–2021 (ECHO</w:t>
      </w:r>
      <w:r>
        <w:t xml:space="preserve"> </w:t>
      </w:r>
      <w:r>
        <w:rPr>
          <w:i/>
          <w:iCs/>
        </w:rPr>
        <w:t xml:space="preserve">WPS</w:t>
      </w:r>
      <w:r>
        <w:t xml:space="preserve"> </w:t>
      </w:r>
      <w:r>
        <w:t xml:space="preserve">view) and 2011–2019 (ECHO</w:t>
      </w:r>
      <w:r>
        <w:t xml:space="preserve"> </w:t>
      </w:r>
      <w:r>
        <w:rPr>
          <w:i/>
          <w:iCs/>
        </w:rPr>
        <w:t xml:space="preserve">establishments</w:t>
      </w:r>
      <w:r>
        <w:t xml:space="preserve"> </w:t>
      </w:r>
      <w:r>
        <w:t xml:space="preserve">view).</w:t>
      </w:r>
      <w:r>
        <w:t xml:space="preserve"> </w:t>
      </w:r>
      <w:r>
        <w:rPr>
          <w:b/>
          <w:bCs/>
        </w:rPr>
        <w:t xml:space="preserve">Time specification:</w:t>
      </w:r>
      <w:r>
        <w:t xml:space="preserve"> </w:t>
      </w:r>
      <w:r>
        <w:t xml:space="preserve">cubic polynomial (</w:t>
      </w:r>
      <w:r>
        <w:rPr>
          <w:rStyle w:val="VerbatimChar"/>
        </w:rPr>
        <w:t xml:space="preserve">time + time2 + time3</w:t>
      </w:r>
      <w:r>
        <w:t xml:space="preserve">),</w:t>
      </w:r>
      <w:r>
        <w:t xml:space="preserve"> </w:t>
      </w:r>
      <w:r>
        <w:rPr>
          <w:rStyle w:val="VerbatimChar"/>
        </w:rPr>
        <w:t xml:space="preserve">time = year − 2017</w:t>
      </w:r>
      <w:r>
        <w:t xml:space="preserve">.</w:t>
      </w:r>
      <w:r>
        <w:t xml:space="preserve"> </w:t>
      </w:r>
      <w:r>
        <w:rPr>
          <w:b/>
          <w:bCs/>
        </w:rPr>
        <w:t xml:space="preserve">Estimator:</w:t>
      </w:r>
      <w:r>
        <w:t xml:space="preserve"> </w:t>
      </w:r>
      <w:r>
        <w:rPr>
          <w:rStyle w:val="VerbatimChar"/>
        </w:rPr>
        <w:t xml:space="preserve">glmmTMB</w:t>
      </w:r>
      <w:r>
        <w:t xml:space="preserve">, random intercept + random slope for time by state, ML.</w:t>
      </w:r>
      <w:r>
        <w:t xml:space="preserve"> </w:t>
      </w:r>
      <w:r>
        <w:rPr>
          <w:b/>
          <w:bCs/>
        </w:rPr>
        <w:t xml:space="preserve">Families compared:</w:t>
      </w:r>
      <w:r>
        <w:t xml:space="preserve"> </w:t>
      </w:r>
      <w:r>
        <w:t xml:space="preserve">Poisson, NB1, NB2, ZIP, ZINB, ZINB + ZI random intercept.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replicate the model class of Jafari et al. (</w:t>
      </w:r>
      <w:r>
        <w:rPr>
          <w:i/>
          <w:iCs/>
        </w:rPr>
        <w:t xml:space="preserve">PLOS ONE</w:t>
      </w:r>
      <w:r>
        <w:t xml:space="preserve"> </w:t>
      </w:r>
      <w:r>
        <w:t xml:space="preserve">2024) — a multilevel</w:t>
      </w:r>
      <w:r>
        <w:t xml:space="preserve"> </w:t>
      </w:r>
      <w:r>
        <w:t xml:space="preserve">zero-inflated negative binomial — as a count-model alternative to the</w:t>
      </w:r>
      <w:r>
        <w:t xml:space="preserve"> </w:t>
      </w:r>
      <w:r>
        <w:rPr>
          <w:rStyle w:val="VerbatimChar"/>
        </w:rPr>
        <w:t xml:space="preserve">MixedLM</w:t>
      </w:r>
      <w:r>
        <w:t xml:space="preserve"> </w:t>
      </w:r>
      <w:r>
        <w:rPr>
          <w:rStyle w:val="VerbatimChar"/>
        </w:rPr>
        <w:t xml:space="preserve">log(count+1)</w:t>
      </w:r>
      <w:r>
        <w:t xml:space="preserve"> </w:t>
      </w:r>
      <w:r>
        <w:t xml:space="preserve">tables. Interpretation and caveats:</w:t>
      </w:r>
      <w:r>
        <w:t xml:space="preserve"> </w:t>
      </w:r>
      <w:r>
        <w:rPr>
          <w:rStyle w:val="VerbatimChar"/>
        </w:rPr>
        <w:t xml:space="preserve">docs/count_models_zinb.md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sample-construction"/>
    <w:p>
      <w:pPr>
        <w:pStyle w:val="Heading2"/>
      </w:pPr>
      <w:r>
        <w:t xml:space="preserve">Sample construction</w:t>
      </w:r>
    </w:p>
    <w:p>
      <w:pPr>
        <w:pStyle w:val="FirstParagraph"/>
      </w:pPr>
      <w:r>
        <w:t xml:space="preserve">Six analytic cells: two outcomes × two windows, with violations fit twice — once with</w:t>
      </w:r>
      <w:r>
        <w:t xml:space="preserve"> </w:t>
      </w:r>
      <w:r>
        <w:t xml:space="preserve">inspections as a</w:t>
      </w:r>
      <w:r>
        <w:t xml:space="preserve"> </w:t>
      </w:r>
      <w:r>
        <w:rPr>
          <w:rStyle w:val="VerbatimChar"/>
        </w:rPr>
        <w:t xml:space="preserve">log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(violations</w:t>
      </w:r>
      <w:r>
        <w:t xml:space="preserve"> </w:t>
      </w:r>
      <w:r>
        <w:rPr>
          <w:i/>
          <w:iCs/>
        </w:rPr>
        <w:t xml:space="preserve">per inspection</w:t>
      </w:r>
      <w:r>
        <w:t xml:space="preserve">) and once with</w:t>
      </w:r>
      <w:r>
        <w:t xml:space="preserve"> </w:t>
      </w:r>
      <w:r>
        <w:rPr>
          <w:rStyle w:val="VerbatimChar"/>
        </w:rPr>
        <w:t xml:space="preserve">log(inspections+1)</w:t>
      </w:r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w:r>
        <w:t xml:space="preserve">(the published tables’ form).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508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Cell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Window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M2 / M3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insp_2019</w:t>
            </w:r>
          </w:p>
        </w:tc>
        <w:tc>
          <w:tcPr/>
          <w:p>
            <w:pPr>
              <w:pStyle w:val="Compact"/>
            </w:pPr>
            <w:r>
              <w:t xml:space="preserve">inspections</w:t>
            </w:r>
          </w:p>
        </w:tc>
        <w:tc>
          <w:tcPr/>
          <w:p>
            <w:pPr>
              <w:pStyle w:val="Compact"/>
            </w:pPr>
            <w:r>
              <w:t xml:space="preserve">2011–2019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 / 50 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423 / 47 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insp_2021</w:t>
            </w:r>
          </w:p>
        </w:tc>
        <w:tc>
          <w:tcPr/>
          <w:p>
            <w:pPr>
              <w:pStyle w:val="Compact"/>
            </w:pPr>
            <w:r>
              <w:t xml:space="preserve">inspections</w:t>
            </w:r>
          </w:p>
        </w:tc>
        <w:tc>
          <w:tcPr/>
          <w:p>
            <w:pPr>
              <w:pStyle w:val="Compact"/>
            </w:pPr>
            <w:r>
              <w:t xml:space="preserve">2011–2021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539 / 49 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506 / 46 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viol_off_2019</w:t>
            </w:r>
          </w:p>
        </w:tc>
        <w:tc>
          <w:tcPr/>
          <w:p>
            <w:pPr>
              <w:pStyle w:val="Compact"/>
            </w:pPr>
            <w:r>
              <w:t xml:space="preserve">violations</w:t>
            </w:r>
          </w:p>
        </w:tc>
        <w:tc>
          <w:tcPr/>
          <w:p>
            <w:pPr>
              <w:pStyle w:val="Compact"/>
            </w:pPr>
            <w:r>
              <w:t xml:space="preserve">2011–2019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offset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387 / 50 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375 / 47 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viol_off_2021</w:t>
            </w:r>
          </w:p>
        </w:tc>
        <w:tc>
          <w:tcPr/>
          <w:p>
            <w:pPr>
              <w:pStyle w:val="Compact"/>
            </w:pPr>
            <w:r>
              <w:t xml:space="preserve">violations</w:t>
            </w:r>
          </w:p>
        </w:tc>
        <w:tc>
          <w:tcPr/>
          <w:p>
            <w:pPr>
              <w:pStyle w:val="Compact"/>
            </w:pPr>
            <w:r>
              <w:t xml:space="preserve">2011–2021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offset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526 / 49 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494 / 46 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viol_cov_2019</w:t>
            </w:r>
          </w:p>
        </w:tc>
        <w:tc>
          <w:tcPr/>
          <w:p>
            <w:pPr>
              <w:pStyle w:val="Compact"/>
            </w:pPr>
            <w:r>
              <w:t xml:space="preserve">violations</w:t>
            </w:r>
          </w:p>
        </w:tc>
        <w:tc>
          <w:tcPr/>
          <w:p>
            <w:pPr>
              <w:pStyle w:val="Compact"/>
            </w:pPr>
            <w:r>
              <w:t xml:space="preserve">2011–2019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covariate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394 / 50 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378 / 47 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viol_cov_2021</w:t>
            </w:r>
          </w:p>
        </w:tc>
        <w:tc>
          <w:tcPr/>
          <w:p>
            <w:pPr>
              <w:pStyle w:val="Compact"/>
            </w:pPr>
            <w:r>
              <w:t xml:space="preserve">violations</w:t>
            </w:r>
          </w:p>
        </w:tc>
        <w:tc>
          <w:tcPr/>
          <w:p>
            <w:pPr>
              <w:pStyle w:val="Compact"/>
            </w:pPr>
            <w:r>
              <w:t xml:space="preserve">2011–2021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covariate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533 / 49 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501 / 46 st</w:t>
            </w:r>
          </w:p>
        </w:tc>
      </w:tr>
    </w:tbl>
    <w:p>
      <w:pPr>
        <w:pStyle w:val="BodyText"/>
      </w:pPr>
      <w:r>
        <w:t xml:space="preserve">The M1 → M2 drop is</w:t>
      </w:r>
      <w:r>
        <w:t xml:space="preserve"> </w:t>
      </w:r>
      <w:r>
        <w:rPr>
          <w:rStyle w:val="VerbatimChar"/>
        </w:rPr>
        <w:t xml:space="preserve">SPEND_APP</w:t>
      </w:r>
      <w:r>
        <w:t xml:space="preserve"> </w:t>
      </w:r>
      <w:r>
        <w:t xml:space="preserve">(BLS OCC 37-3012 is never published for AK/RI/VT). The</w:t>
      </w:r>
      <w:r>
        <w:t xml:space="preserve"> </w:t>
      </w:r>
      <w:r>
        <w:t xml:space="preserve">offset cells sit below their covariate twins because</w:t>
      </w:r>
      <w:r>
        <w:t xml:space="preserve"> </w:t>
      </w:r>
      <w:r>
        <w:rPr>
          <w:rStyle w:val="VerbatimChar"/>
        </w:rPr>
        <w:t xml:space="preserve">log(inspections)</w:t>
      </w:r>
      <w:r>
        <w:t xml:space="preserve"> </w:t>
      </w:r>
      <w:r>
        <w:t xml:space="preserve">is undefined at</w:t>
      </w:r>
      <w:r>
        <w:t xml:space="preserve"> </w:t>
      </w:r>
      <w:r>
        <w:t xml:space="preserve">zero: 7 state-years drop in 2021 —</w:t>
      </w:r>
      <w:r>
        <w:t xml:space="preserve"> </w:t>
      </w:r>
      <w:r>
        <w:rPr>
          <w:b/>
          <w:bCs/>
        </w:rPr>
        <w:t xml:space="preserve">all 7 are also zero-violation rows</w:t>
      </w:r>
      <w:r>
        <w:t xml:space="preserve"> </w:t>
      </w:r>
      <w:r>
        <w:t xml:space="preserve">— and 15 in</w:t>
      </w:r>
      <w:r>
        <w:t xml:space="preserve"> </w:t>
      </w:r>
      <w:r>
        <w:t xml:space="preserve">2019, of which 1 is zero-violation, 6 positive, 8 missing.</w:t>
      </w:r>
    </w:p>
    <w:p>
      <w:pPr>
        <w:pStyle w:val="BodyText"/>
      </w:pPr>
      <w:r>
        <w:rPr>
          <w:b/>
          <w:bCs/>
        </w:rPr>
        <w:t xml:space="preserve">Covariate block (z-scored, identical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paper_table_models_2021.py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SPEND_APP_z</w:t>
      </w:r>
      <w:r>
        <w:t xml:space="preserve">,</w:t>
      </w:r>
      <w:r>
        <w:t xml:space="preserve"> </w:t>
      </w:r>
      <w:r>
        <w:rPr>
          <w:rStyle w:val="VerbatimChar"/>
        </w:rPr>
        <w:t xml:space="preserve">SPEND_WORK_z</w:t>
      </w:r>
      <w:r>
        <w:t xml:space="preserve">,</w:t>
      </w:r>
      <w:r>
        <w:t xml:space="preserve"> </w:t>
      </w:r>
      <w:r>
        <w:rPr>
          <w:rStyle w:val="VerbatimChar"/>
        </w:rPr>
        <w:t xml:space="preserve">lii_2017_z</w:t>
      </w:r>
      <w:r>
        <w:t xml:space="preserve">,</w:t>
      </w:r>
      <w:r>
        <w:t xml:space="preserve"> </w:t>
      </w:r>
      <w:r>
        <w:rPr>
          <w:rStyle w:val="VerbatimChar"/>
        </w:rPr>
        <w:t xml:space="preserve">h2a_per_farmworker_z</w:t>
      </w:r>
      <w:r>
        <w:t xml:space="preserve">,</w:t>
      </w:r>
      <w:r>
        <w:t xml:space="preserve"> </w:t>
      </w:r>
      <w:r>
        <w:rPr>
          <w:rStyle w:val="VerbatimChar"/>
        </w:rPr>
        <w:t xml:space="preserve">dol_demand_met_pct_z</w:t>
      </w:r>
      <w:r>
        <w:t xml:space="preserve">,</w:t>
      </w:r>
      <w:r>
        <w:t xml:space="preserve"> </w:t>
      </w:r>
      <w:r>
        <w:rPr>
          <w:rStyle w:val="VerbatimChar"/>
        </w:rPr>
        <w:t xml:space="preserve">pct_flc_z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why-a-count-model"/>
    <w:p>
      <w:pPr>
        <w:pStyle w:val="Heading2"/>
      </w:pPr>
      <w:r>
        <w:t xml:space="preserve">Why a count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Window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Zeros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Variance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Var/Mean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2011–2021</w:t>
            </w:r>
          </w:p>
        </w:tc>
        <w:tc>
          <w:tcPr/>
          <w:p>
            <w:pPr>
              <w:pStyle w:val="Compact"/>
            </w:pPr>
            <w:r>
              <w:t xml:space="preserve">violations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 (17.4%)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4681.7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2011–2021</w:t>
            </w:r>
          </w:p>
        </w:tc>
        <w:tc>
          <w:tcPr/>
          <w:p>
            <w:pPr>
              <w:pStyle w:val="Compact"/>
            </w:pPr>
            <w:r>
              <w:t xml:space="preserve">inspections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(1.3%)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15491.7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226.7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2011–2019</w:t>
            </w:r>
          </w:p>
        </w:tc>
        <w:tc>
          <w:tcPr/>
          <w:p>
            <w:pPr>
              <w:pStyle w:val="Compact"/>
            </w:pPr>
            <w:r>
              <w:t xml:space="preserve">violations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(2.5%)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2011–2019</w:t>
            </w:r>
          </w:p>
        </w:tc>
        <w:tc>
          <w:tcPr/>
          <w:p>
            <w:pPr>
              <w:pStyle w:val="Compact"/>
            </w:pPr>
            <w:r>
              <w:t xml:space="preserve">inspections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(3.3%)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28.1</w:t>
            </w:r>
          </w:p>
        </w:tc>
      </w:tr>
    </w:tbl>
    <w:p>
      <w:pPr>
        <w:pStyle w:val="BodyText"/>
      </w:pPr>
      <w:r>
        <w:t xml:space="preserve">Variance runs 23–227× the mean everywhere, so a Poisson is not viable in any cell. The</w:t>
      </w:r>
      <w:r>
        <w:t xml:space="preserve"> </w:t>
      </w:r>
      <w:r>
        <w:t xml:space="preserve">2011–2021 violations series adds 17.4% zeros. The 2019 inspection zeros are partly</w:t>
      </w:r>
      <w:r>
        <w:t xml:space="preserve"> </w:t>
      </w:r>
      <w:r>
        <w:rPr>
          <w:b/>
          <w:bCs/>
        </w:rPr>
        <w:t xml:space="preserve">manufactured</w:t>
      </w:r>
      <w:r>
        <w:t xml:space="preserve">: the establishments reshape applies</w:t>
      </w:r>
      <w:r>
        <w:t xml:space="preserve"> </w:t>
      </w:r>
      <w:r>
        <w:rPr>
          <w:rStyle w:val="VerbatimChar"/>
        </w:rPr>
        <w:t xml:space="preserve">fillna(0)</w:t>
      </w:r>
      <w:r>
        <w:t xml:space="preserve"> </w:t>
      </w:r>
      <w:r>
        <w:t xml:space="preserve">to both the EPA and state</w:t>
      </w:r>
      <w:r>
        <w:t xml:space="preserve"> </w:t>
      </w:r>
      <w:r>
        <w:t xml:space="preserve">inspection components before summing, so a state-year missing both becomes a zero.</w:t>
      </w:r>
    </w:p>
    <w:p>
      <w:r>
        <w:pict>
          <v:rect style="width:0;height:1.5pt" o:hralign="center" o:hrstd="t" o:hr="t"/>
        </w:pict>
      </w:r>
    </w:p>
    <w:bookmarkEnd w:id="21"/>
    <w:bookmarkStart w:id="22" w:name="family-selection"/>
    <w:p>
      <w:pPr>
        <w:pStyle w:val="Heading2"/>
      </w:pPr>
      <w:r>
        <w:t xml:space="preserve">Family selection</w:t>
      </w:r>
    </w:p>
    <w:p>
      <w:pPr>
        <w:pStyle w:val="FirstParagraph"/>
      </w:pPr>
      <w:r>
        <w:t xml:space="preserve">Selected by lowest AIC among converged, non-degenerate fits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a random-effects</w:t>
      </w:r>
      <w:r>
        <w:t xml:space="preserve"> </w:t>
      </w:r>
      <w:r>
        <w:t xml:space="preserve">tier.</w:t>
      </w:r>
      <w:r>
        <w:t xml:space="preserve"> </w:t>
      </w:r>
      <w:r>
        <w:rPr>
          <w:rStyle w:val="VerbatimChar"/>
        </w:rPr>
        <w:t xml:space="preserve">rs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(1 + time | state)</w:t>
      </w:r>
      <w:r>
        <w:t xml:space="preserve">, the mandated structure;</w:t>
      </w:r>
      <w:r>
        <w:t xml:space="preserve"> </w:t>
      </w:r>
      <w:r>
        <w:rPr>
          <w:rStyle w:val="VerbatimChar"/>
        </w:rPr>
        <w:t xml:space="preserve">ri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(1 | state)</w:t>
      </w:r>
      <w:r>
        <w:t xml:space="preserve">, reported</w:t>
      </w:r>
      <w:r>
        <w:t xml:space="preserve"> </w:t>
      </w:r>
      <w:r>
        <w:t xml:space="preserve">separately where a family could not reach</w:t>
      </w:r>
      <w:r>
        <w:t xml:space="preserve"> </w:t>
      </w:r>
      <w:r>
        <w:rPr>
          <w:rStyle w:val="VerbatimChar"/>
        </w:rPr>
        <w:t xml:space="preserve">rs</w:t>
      </w:r>
      <w:r>
        <w:t xml:space="preserve">.</w:t>
      </w:r>
      <w:r>
        <w:t xml:space="preserve"> </w:t>
      </w:r>
      <w:r>
        <w:rPr>
          <w:b/>
          <w:bCs/>
        </w:rPr>
        <w:t xml:space="preserve">AIC is never compared across tiers.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Cell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Selected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Nearest clean competitor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ΔAIC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insp_2019</w:t>
            </w:r>
          </w:p>
        </w:tc>
        <w:tc>
          <w:tcPr/>
          <w:p>
            <w:pPr>
              <w:pStyle w:val="Compact"/>
            </w:pPr>
            <w:r>
              <w:t xml:space="preserve">rs</w:t>
            </w:r>
          </w:p>
        </w:tc>
        <w:tc>
          <w:tcPr/>
          <w:p>
            <w:pPr>
              <w:pStyle w:val="Compact"/>
            </w:pPr>
            <w:r>
              <w:t xml:space="preserve">ZINB + ZI 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3160.05</w:t>
            </w:r>
          </w:p>
        </w:tc>
        <w:tc>
          <w:tcPr/>
          <w:p>
            <w:pPr>
              <w:pStyle w:val="Compact"/>
            </w:pPr>
            <w:r>
              <w:t xml:space="preserve">ZINB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insp_2021</w:t>
            </w:r>
          </w:p>
        </w:tc>
        <w:tc>
          <w:tcPr/>
          <w:p>
            <w:pPr>
              <w:pStyle w:val="Compact"/>
            </w:pPr>
            <w:r>
              <w:t xml:space="preserve">rs</w:t>
            </w:r>
          </w:p>
        </w:tc>
        <w:tc>
          <w:tcPr/>
          <w:p>
            <w:pPr>
              <w:pStyle w:val="Compact"/>
            </w:pPr>
            <w:r>
              <w:t xml:space="preserve">ZINB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4532.61</w:t>
            </w:r>
          </w:p>
        </w:tc>
        <w:tc>
          <w:tcPr/>
          <w:p>
            <w:pPr>
              <w:pStyle w:val="Compact"/>
            </w:pPr>
            <w:r>
              <w:t xml:space="preserve">NB2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viol_off_2019</w:t>
            </w:r>
          </w:p>
        </w:tc>
        <w:tc>
          <w:tcPr/>
          <w:p>
            <w:pPr>
              <w:pStyle w:val="Compact"/>
            </w:pPr>
            <w:r>
              <w:t xml:space="preserve">rs</w:t>
            </w:r>
          </w:p>
        </w:tc>
        <w:tc>
          <w:tcPr/>
          <w:p>
            <w:pPr>
              <w:pStyle w:val="Compact"/>
            </w:pPr>
            <w:r>
              <w:t xml:space="preserve">NB2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2415.97</w:t>
            </w:r>
          </w:p>
        </w:tc>
        <w:tc>
          <w:tcPr/>
          <w:p>
            <w:pPr>
              <w:pStyle w:val="Compact"/>
            </w:pPr>
            <w:r>
              <w:t xml:space="preserve">NB1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viol_off_2021</w:t>
            </w:r>
          </w:p>
        </w:tc>
        <w:tc>
          <w:tcPr/>
          <w:p>
            <w:pPr>
              <w:pStyle w:val="Compact"/>
            </w:pPr>
            <w:r>
              <w:t xml:space="preserve">rs</w:t>
            </w:r>
          </w:p>
        </w:tc>
        <w:tc>
          <w:tcPr/>
          <w:p>
            <w:pPr>
              <w:pStyle w:val="Compact"/>
            </w:pPr>
            <w:r>
              <w:t xml:space="preserve">NB1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3651.08</w:t>
            </w:r>
          </w:p>
        </w:tc>
        <w:tc>
          <w:tcPr/>
          <w:p>
            <w:pPr>
              <w:pStyle w:val="Compact"/>
            </w:pPr>
            <w:r>
              <w:t xml:space="preserve">NB2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viol_off_2021</w:t>
            </w:r>
          </w:p>
        </w:tc>
        <w:tc>
          <w:tcPr/>
          <w:p>
            <w:pPr>
              <w:pStyle w:val="Compact"/>
            </w:pPr>
            <w:r>
              <w:t xml:space="preserve">ri</w:t>
            </w:r>
          </w:p>
        </w:tc>
        <w:tc>
          <w:tcPr/>
          <w:p>
            <w:pPr>
              <w:pStyle w:val="Compact"/>
            </w:pPr>
            <w:r>
              <w:t xml:space="preserve">ZINB + ZI 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3632.61</w:t>
            </w:r>
          </w:p>
        </w:tc>
        <w:tc>
          <w:tcPr/>
          <w:p>
            <w:pPr>
              <w:pStyle w:val="Compact"/>
            </w:pPr>
            <w:r>
              <w:t xml:space="preserve">ZINB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viol_cov_2019</w:t>
            </w:r>
          </w:p>
        </w:tc>
        <w:tc>
          <w:tcPr/>
          <w:p>
            <w:pPr>
              <w:pStyle w:val="Compact"/>
            </w:pPr>
            <w:r>
              <w:t xml:space="preserve">rs</w:t>
            </w:r>
          </w:p>
        </w:tc>
        <w:tc>
          <w:tcPr/>
          <w:p>
            <w:pPr>
              <w:pStyle w:val="Compact"/>
            </w:pPr>
            <w:r>
              <w:t xml:space="preserve">NB2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2328.64</w:t>
            </w:r>
          </w:p>
        </w:tc>
        <w:tc>
          <w:tcPr/>
          <w:p>
            <w:pPr>
              <w:pStyle w:val="Compact"/>
            </w:pPr>
            <w:r>
              <w:t xml:space="preserve">NB1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78.69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viol_cov_2021</w:t>
            </w:r>
          </w:p>
        </w:tc>
        <w:tc>
          <w:tcPr/>
          <w:p>
            <w:pPr>
              <w:pStyle w:val="Compact"/>
            </w:pPr>
            <w:r>
              <w:t xml:space="preserve">rs</w:t>
            </w:r>
          </w:p>
        </w:tc>
        <w:tc>
          <w:tcPr/>
          <w:p>
            <w:pPr>
              <w:pStyle w:val="Compact"/>
            </w:pPr>
            <w:r>
              <w:t xml:space="preserve">NB1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3630.16</w:t>
            </w:r>
          </w:p>
        </w:tc>
        <w:tc>
          <w:tcPr/>
          <w:p>
            <w:pPr>
              <w:pStyle w:val="Compact"/>
            </w:pPr>
            <w:r>
              <w:t xml:space="preserve">NB2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viol_cov_2021</w:t>
            </w:r>
          </w:p>
        </w:tc>
        <w:tc>
          <w:tcPr/>
          <w:p>
            <w:pPr>
              <w:pStyle w:val="Compact"/>
            </w:pPr>
            <w:r>
              <w:t xml:space="preserve">ri</w:t>
            </w:r>
          </w:p>
        </w:tc>
        <w:tc>
          <w:tcPr/>
          <w:p>
            <w:pPr>
              <w:pStyle w:val="Compact"/>
            </w:pPr>
            <w:r>
              <w:t xml:space="preserve">ZINB + ZI 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3624.02</w:t>
            </w:r>
          </w:p>
        </w:tc>
        <w:tc>
          <w:tcPr/>
          <w:p>
            <w:pPr>
              <w:pStyle w:val="Compact"/>
            </w:pPr>
            <w:r>
              <w:t xml:space="preserve">ZINB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18.95</w:t>
            </w:r>
          </w:p>
        </w:tc>
      </w:tr>
    </w:tbl>
    <w:p>
      <w:pPr>
        <w:pStyle w:val="BodyText"/>
      </w:pPr>
      <w:r>
        <w:t xml:space="preserve">Inspections selects a zero-inflated family in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windows. Violations select a plain</w:t>
      </w:r>
      <w:r>
        <w:t xml:space="preserve"> </w:t>
      </w:r>
      <w:r>
        <w:t xml:space="preserve">negative binomial in both — but</w:t>
      </w:r>
      <w:r>
        <w:t xml:space="preserve"> </w:t>
      </w:r>
      <w:r>
        <w:rPr>
          <w:b/>
          <w:bCs/>
        </w:rPr>
        <w:t xml:space="preserve">by default, not on merit</w:t>
      </w:r>
      <w:r>
        <w:t xml:space="preserve">: at Model 3 neither ZI-NB</w:t>
      </w:r>
      <w:r>
        <w:t xml:space="preserve"> </w:t>
      </w:r>
      <w:r>
        <w:t xml:space="preserve">rung is estimable at</w:t>
      </w:r>
      <w:r>
        <w:t xml:space="preserve"> </w:t>
      </w:r>
      <w:r>
        <w:rPr>
          <w:rStyle w:val="VerbatimChar"/>
        </w:rPr>
        <w:t xml:space="preserve">(1 + time | state)</w:t>
      </w:r>
      <w:r>
        <w:t xml:space="preserve"> </w:t>
      </w:r>
      <w:r>
        <w:t xml:space="preserve">in any violations cell. Wherever a matched</w:t>
      </w:r>
      <w:r>
        <w:t xml:space="preserve"> </w:t>
      </w:r>
      <w:r>
        <w:t xml:space="preserve">comparison is possible (same cell, model, tier, N; both converged; neither degenerate) a</w:t>
      </w:r>
      <w:r>
        <w:t xml:space="preserve"> </w:t>
      </w:r>
      <w:r>
        <w:t xml:space="preserve">zero-inflated NB beats NB1</w:t>
      </w:r>
      <w:r>
        <w:t xml:space="preserve"> </w:t>
      </w:r>
      <w:r>
        <w:rPr>
          <w:b/>
          <w:bCs/>
        </w:rPr>
        <w:t xml:space="preserve">17–0</w:t>
      </w:r>
      <w:r>
        <w:t xml:space="preserve"> </w:t>
      </w:r>
      <w:r>
        <w:t xml:space="preserve">(34.7–195.0 AIC) and NB2</w:t>
      </w:r>
      <w:r>
        <w:t xml:space="preserve"> </w:t>
      </w:r>
      <w:r>
        <w:rPr>
          <w:b/>
          <w:bCs/>
        </w:rPr>
        <w:t xml:space="preserve">17–0</w:t>
      </w:r>
      <w:r>
        <w:t xml:space="preserve"> </w:t>
      </w:r>
      <w:r>
        <w:t xml:space="preserve">(24.1–83.2 AIC).</w:t>
      </w:r>
    </w:p>
    <w:p>
      <w:r>
        <w:pict>
          <v:rect style="width:0;height:1.5pt" o:hralign="center" o:hrstd="t" o:hr="t"/>
        </w:pict>
      </w:r>
    </w:p>
    <w:bookmarkEnd w:id="22"/>
    <w:bookmarkStart w:id="23" w:name="model-3-coefficients-inspections"/>
    <w:p>
      <w:pPr>
        <w:pStyle w:val="Heading2"/>
      </w:pPr>
      <w:r>
        <w:t xml:space="preserve">Model 3 coefficients — inspections</w:t>
      </w:r>
    </w:p>
    <w:p>
      <w:pPr>
        <w:pStyle w:val="FirstParagraph"/>
      </w:pPr>
      <w:r>
        <w:rPr>
          <w:rStyle w:val="VerbatimChar"/>
        </w:rPr>
        <w:t xml:space="preserve">b</w:t>
      </w:r>
      <w:r>
        <w:t xml:space="preserve"> </w:t>
      </w:r>
      <w:r>
        <w:t xml:space="preserve">on the log link; IRR = exp(b). Significance:</w:t>
      </w:r>
      <w:r>
        <w:t xml:space="preserve"> </w:t>
      </w:r>
      <w:r>
        <w:rPr>
          <w:rStyle w:val="VerbatimChar"/>
        </w:rPr>
        <w:t xml:space="preserve">***</w:t>
      </w:r>
      <w:r>
        <w:t xml:space="preserve"> </w:t>
      </w:r>
      <w:r>
        <w:t xml:space="preserve">p&lt;.001,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p&lt;.01,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p&lt;.05,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p&lt;.10.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863"/>
        <w:gridCol w:w="1397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 (ZINB + ZI RE)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2021 (ZINB)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b (SE)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 (SE)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2.9282 (0.1219)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3.6518 (0.1539)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−0.0826 (0.0193)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−0.0556 (0.0181)</w:t>
            </w:r>
          </w:p>
        </w:tc>
        <w:tc>
          <w:tcPr/>
          <w:p>
            <w:pPr>
              <w:pStyle w:val="Compac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−0.0143 (0.0088)</w:t>
            </w:r>
          </w:p>
        </w:tc>
        <w:tc>
          <w:tcPr/>
          <w:p>
            <w:pPr>
              <w:pStyle w:val="Compact"/>
            </w:pPr>
            <w:r>
              <w:t xml:space="preserve">0.106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−0.0045 (0.0034)</w:t>
            </w:r>
          </w:p>
        </w:tc>
        <w:tc>
          <w:tcPr/>
          <w:p>
            <w:pPr>
              <w:pStyle w:val="Compact"/>
            </w:pPr>
            <w:r>
              <w:t xml:space="preserve">0.184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−0.0009 (0.0014)</w:t>
            </w:r>
          </w:p>
        </w:tc>
        <w:tc>
          <w:tcPr/>
          <w:p>
            <w:pPr>
              <w:pStyle w:val="Compact"/>
            </w:pPr>
            <w:r>
              <w:t xml:space="preserve">0.495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−0.0001 (0.0008)</w:t>
            </w:r>
          </w:p>
        </w:tc>
        <w:tc>
          <w:tcPr/>
          <w:p>
            <w:pPr>
              <w:pStyle w:val="Compact"/>
            </w:pPr>
            <w:r>
              <w:t xml:space="preserve">0.862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SPEND_APP_z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−0.3186 (0.1191)</w:t>
            </w:r>
          </w:p>
        </w:tc>
        <w:tc>
          <w:tcPr/>
          <w:p>
            <w:pPr>
              <w:pStyle w:val="Compact"/>
            </w:pPr>
            <w:r>
              <w:t xml:space="preserve">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0.0775 (0.1683)</w:t>
            </w:r>
          </w:p>
        </w:tc>
        <w:tc>
          <w:tcPr/>
          <w:p>
            <w:pPr>
              <w:pStyle w:val="Compact"/>
            </w:pPr>
            <w:r>
              <w:t xml:space="preserve">0.645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SPEND_WORK_z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−0.1288 (0.1468)</w:t>
            </w:r>
          </w:p>
        </w:tc>
        <w:tc>
          <w:tcPr/>
          <w:p>
            <w:pPr>
              <w:pStyle w:val="Compact"/>
            </w:pPr>
            <w:r>
              <w:t xml:space="preserve">0.380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0.0806 (0.1765)</w:t>
            </w:r>
          </w:p>
        </w:tc>
        <w:tc>
          <w:tcPr/>
          <w:p>
            <w:pPr>
              <w:pStyle w:val="Compact"/>
            </w:pPr>
            <w:r>
              <w:t xml:space="preserve">0.648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lii_2017_z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−0.2780 (0.1664)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0.0789 (0.2271)</w:t>
            </w:r>
          </w:p>
        </w:tc>
        <w:tc>
          <w:tcPr/>
          <w:p>
            <w:pPr>
              <w:pStyle w:val="Compact"/>
            </w:pPr>
            <w:r>
              <w:t xml:space="preserve">0.728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h2a_per_farmworker_z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0.0135 (0.0493)</w:t>
            </w:r>
          </w:p>
        </w:tc>
        <w:tc>
          <w:tcPr/>
          <w:p>
            <w:pPr>
              <w:pStyle w:val="Compact"/>
            </w:pPr>
            <w:r>
              <w:t xml:space="preserve">0.784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0.0586 (0.0487)</w:t>
            </w:r>
          </w:p>
        </w:tc>
        <w:tc>
          <w:tcPr/>
          <w:p>
            <w:pPr>
              <w:pStyle w:val="Compact"/>
            </w:pPr>
            <w:r>
              <w:t xml:space="preserve">0.230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dol_demand_met_pct_z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0.0031 (0.1343)</w:t>
            </w:r>
          </w:p>
        </w:tc>
        <w:tc>
          <w:tcPr/>
          <w:p>
            <w:pPr>
              <w:pStyle w:val="Compact"/>
            </w:pPr>
            <w:r>
              <w:t xml:space="preserve">0.981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0.1352 (0.2092)</w:t>
            </w:r>
          </w:p>
        </w:tc>
        <w:tc>
          <w:tcPr/>
          <w:p>
            <w:pPr>
              <w:pStyle w:val="Compact"/>
            </w:pPr>
            <w:r>
              <w:t xml:space="preserve">0.518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pct_flc_z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−0.0018 (0.1285)</w:t>
            </w:r>
          </w:p>
        </w:tc>
        <w:tc>
          <w:tcPr/>
          <w:p>
            <w:pPr>
              <w:pStyle w:val="Compact"/>
            </w:pPr>
            <w:r>
              <w:t xml:space="preserve">0.989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−0.0052 (0.1800)</w:t>
            </w:r>
          </w:p>
        </w:tc>
        <w:tc>
          <w:tcPr/>
          <w:p>
            <w:pPr>
              <w:pStyle w:val="Compact"/>
            </w:pPr>
            <w:r>
              <w:t xml:space="preserve">0.977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 intercept</w:t>
            </w:r>
            <w:r>
              <w:t xml:space="preserve"> </w:t>
            </w:r>
            <w:r>
              <w:t xml:space="preserve">(logit)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−9.4231 (2.6032)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−4.4057 (0.4276)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SPEND_APP_z</w:t>
      </w:r>
      <w:r>
        <w:t xml:space="preserve"> </w:t>
      </w:r>
      <w:r>
        <w:t xml:space="preserve">is the only significant covariate in either inspections column, negative, and</w:t>
      </w:r>
      <w:r>
        <w:t xml:space="preserve"> </w:t>
      </w:r>
      <w:r>
        <w:t xml:space="preserve">only in 2011–2019. No labour or H-2A covariate reaches p&lt;.10 in the 2021 column.</w:t>
      </w:r>
    </w:p>
    <w:p>
      <w:r>
        <w:pict>
          <v:rect style="width:0;height:1.5pt" o:hralign="center" o:hrstd="t" o:hr="t"/>
        </w:pict>
      </w:r>
    </w:p>
    <w:bookmarkEnd w:id="23"/>
    <w:bookmarkStart w:id="24" w:name="X347151de9c7bbe9196db587fc6b2b31247101dd"/>
    <w:p>
      <w:pPr>
        <w:pStyle w:val="Heading2"/>
      </w:pPr>
      <w:r>
        <w:t xml:space="preserve">Model 3 coefficients — violations (covariate specification)</w:t>
      </w:r>
    </w:p>
    <w:p>
      <w:pPr>
        <w:pStyle w:val="FirstParagraph"/>
      </w:pPr>
      <w:r>
        <w:t xml:space="preserve">Directly comparable in form to published Table 3, which also enters inspections as</w:t>
      </w:r>
      <w:r>
        <w:t xml:space="preserve"> </w:t>
      </w:r>
      <w:r>
        <w:rPr>
          <w:rStyle w:val="VerbatimChar"/>
        </w:rPr>
        <w:t xml:space="preserve">log(inspections+1)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863"/>
        <w:gridCol w:w="1397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 (NB2)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2021 (NB1)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b (SE)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 (SE)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1.5609 (0.2334)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−0.0314 (0.2818)</w:t>
            </w:r>
          </w:p>
        </w:tc>
        <w:tc>
          <w:tcPr/>
          <w:p>
            <w:pPr>
              <w:pStyle w:val="Compact"/>
            </w:pPr>
            <w:r>
              <w:t xml:space="preserve">0.911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Inspections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0.2352 (0.0690)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0.7401 (0.0618)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0.2328 (0.0284)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0.0660 (0.0265)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−0.0579 (0.0159)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−0.0201 (0.0047)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−0.0133 (0.0026)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−0.0057 (0.0011)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SPEND_APP_z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−0.1469 (0.1163)</w:t>
            </w:r>
          </w:p>
        </w:tc>
        <w:tc>
          <w:tcPr/>
          <w:p>
            <w:pPr>
              <w:pStyle w:val="Compact"/>
            </w:pPr>
            <w:r>
              <w:t xml:space="preserve">0.206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0.1959 (0.1389)</w:t>
            </w:r>
          </w:p>
        </w:tc>
        <w:tc>
          <w:tcPr/>
          <w:p>
            <w:pPr>
              <w:pStyle w:val="Compact"/>
            </w:pPr>
            <w:r>
              <w:t xml:space="preserve">0.158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SPEND_WORK_z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−0.3748 (0.1460)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−0.4669 (0.1703)</w:t>
            </w:r>
          </w:p>
        </w:tc>
        <w:tc>
          <w:tcPr/>
          <w:p>
            <w:pPr>
              <w:pStyle w:val="Compac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lii_2017_z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−0.0406 (0.1591)</w:t>
            </w:r>
          </w:p>
        </w:tc>
        <w:tc>
          <w:tcPr/>
          <w:p>
            <w:pPr>
              <w:pStyle w:val="Compact"/>
            </w:pPr>
            <w:r>
              <w:t xml:space="preserve">0.799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0.0358 (0.1910)</w:t>
            </w:r>
          </w:p>
        </w:tc>
        <w:tc>
          <w:tcPr/>
          <w:p>
            <w:pPr>
              <w:pStyle w:val="Compact"/>
            </w:pPr>
            <w:r>
              <w:t xml:space="preserve">0.852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h2a_per_farmworker_z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−0.0327 (0.0808)</w:t>
            </w:r>
          </w:p>
        </w:tc>
        <w:tc>
          <w:tcPr/>
          <w:p>
            <w:pPr>
              <w:pStyle w:val="Compact"/>
            </w:pPr>
            <w:r>
              <w:t xml:space="preserve">0.686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−0.0217 (0.0774)</w:t>
            </w:r>
          </w:p>
        </w:tc>
        <w:tc>
          <w:tcPr/>
          <w:p>
            <w:pPr>
              <w:pStyle w:val="Compact"/>
            </w:pPr>
            <w:r>
              <w:t xml:space="preserve">0.779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dol_demand_met_pct_z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0.1446 (0.1302)</w:t>
            </w:r>
          </w:p>
        </w:tc>
        <w:tc>
          <w:tcPr/>
          <w:p>
            <w:pPr>
              <w:pStyle w:val="Compact"/>
            </w:pPr>
            <w:r>
              <w:t xml:space="preserve">0.267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−0.0943 (0.1793)</w:t>
            </w:r>
          </w:p>
        </w:tc>
        <w:tc>
          <w:tcPr/>
          <w:p>
            <w:pPr>
              <w:pStyle w:val="Compact"/>
            </w:pPr>
            <w:r>
              <w:t xml:space="preserve">0.599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pct_flc_z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0.3979 (0.1170)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0.2570 (0.1549)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SPEND_WORK_z</w:t>
      </w:r>
      <w:r>
        <w:rPr>
          <w:b/>
          <w:bCs/>
        </w:rPr>
        <w:t xml:space="preserve"> </w:t>
      </w:r>
      <w:r>
        <w:rPr>
          <w:b/>
          <w:bCs/>
        </w:rPr>
        <w:t xml:space="preserve">is negative and significant in both windows</w:t>
      </w:r>
      <w:r>
        <w:t xml:space="preserve"> </w:t>
      </w:r>
      <w:r>
        <w:t xml:space="preserve">(IRR 0.687 and 0.627): more</w:t>
      </w:r>
      <w:r>
        <w:t xml:space="preserve"> </w:t>
      </w:r>
      <w:r>
        <w:t xml:space="preserve">STAG spending per farmworker, fewer violations.</w:t>
      </w:r>
      <w:r>
        <w:t xml:space="preserve"> </w:t>
      </w:r>
      <w:r>
        <w:rPr>
          <w:rStyle w:val="VerbatimChar"/>
        </w:rPr>
        <w:t xml:space="preserve">pct_flc_z</w:t>
      </w:r>
      <w:r>
        <w:t xml:space="preserve"> </w:t>
      </w:r>
      <w:r>
        <w:t xml:space="preserve">is positive in both, significant</w:t>
      </w:r>
      <w:r>
        <w:t xml:space="preserve"> </w:t>
      </w:r>
      <w:r>
        <w:t xml:space="preserve">in 2019 only. The offset specification agrees on sign and significance for</w:t>
      </w:r>
      <w:r>
        <w:t xml:space="preserve"> </w:t>
      </w:r>
      <w:r>
        <w:rPr>
          <w:rStyle w:val="VerbatimChar"/>
        </w:rPr>
        <w:t xml:space="preserve">SPEND_WORK_z</w:t>
      </w:r>
      <w:r>
        <w:t xml:space="preserve"> </w:t>
      </w:r>
      <w:r>
        <w:t xml:space="preserve">(2019 −0.2663, p=0.108; 2021 −0.5406, p=0.003) and</w:t>
      </w:r>
      <w:r>
        <w:t xml:space="preserve"> </w:t>
      </w:r>
      <w:r>
        <w:rPr>
          <w:rStyle w:val="VerbatimChar"/>
        </w:rPr>
        <w:t xml:space="preserve">pct_flc_z</w:t>
      </w:r>
      <w:r>
        <w:t xml:space="preserve"> </w:t>
      </w:r>
      <w:r>
        <w:t xml:space="preserve">(2019 0.3996, p=0.003;</w:t>
      </w:r>
      <w:r>
        <w:t xml:space="preserve"> </w:t>
      </w:r>
      <w:r>
        <w:t xml:space="preserve">2021 0.2508, p=0.147).</w:t>
      </w:r>
    </w:p>
    <w:p>
      <w:r>
        <w:pict>
          <v:rect style="width:0;height:1.5pt" o:hralign="center" o:hrstd="t" o:hr="t"/>
        </w:pict>
      </w:r>
    </w:p>
    <w:bookmarkEnd w:id="24"/>
    <w:bookmarkStart w:id="25" w:name="X344ed62c49127242f50525020886f605c7c8ebf"/>
    <w:p>
      <w:pPr>
        <w:pStyle w:val="Heading2"/>
      </w:pPr>
      <w:r>
        <w:t xml:space="preserve">Variance components (selected family, log link)</w:t>
      </w:r>
    </w:p>
    <w:p>
      <w:pPr>
        <w:pStyle w:val="FirstParagraph"/>
      </w:pPr>
      <w:r>
        <w:t xml:space="preserve">σ²_u0 here is on the</w:t>
      </w:r>
      <w:r>
        <w:t xml:space="preserve"> </w:t>
      </w:r>
      <w:r>
        <w:rPr>
          <w:b/>
          <w:bCs/>
        </w:rPr>
        <w:t xml:space="preserve">log link</w:t>
      </w:r>
      <w:r>
        <w:t xml:space="preserve"> </w:t>
      </w:r>
      <w:r>
        <w:t xml:space="preserve">scale, not the</w:t>
      </w:r>
      <w:r>
        <w:t xml:space="preserve"> </w:t>
      </w:r>
      <w:r>
        <w:rPr>
          <w:rStyle w:val="VerbatimChar"/>
        </w:rPr>
        <w:t xml:space="preserve">log(count+1)</w:t>
      </w:r>
      <w:r>
        <w:t xml:space="preserve"> </w:t>
      </w:r>
      <w:r>
        <w:t xml:space="preserve">outcome scale of the</w:t>
      </w:r>
      <w:r>
        <w:t xml:space="preserve"> </w:t>
      </w:r>
      <w:r>
        <w:t xml:space="preserve">published tables — magnitudes are not comparable to Tables 2/3. This pipeline computes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Δσ²_u0 percentage; that needs a random-intercept-only refit series the ladder does</w:t>
      </w:r>
      <w:r>
        <w:t xml:space="preserve"> </w:t>
      </w:r>
      <w:r>
        <w:t xml:space="preserve">not produce.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913"/>
        <w:gridCol w:w="1218"/>
        <w:gridCol w:w="1218"/>
        <w:gridCol w:w="1218"/>
        <w:gridCol w:w="1218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Cell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σ²_u0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σ²_u1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Dispersion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σ²_zi_u0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Pr(structural 0), marginal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insp_2019</w:t>
            </w:r>
          </w:p>
        </w:tc>
        <w:tc>
          <w:tcPr/>
          <w:p>
            <w:pPr>
              <w:pStyle w:val="Compact"/>
            </w:pPr>
            <w:r>
              <w:t xml:space="preserve">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insp_2021</w:t>
            </w:r>
          </w:p>
        </w:tc>
        <w:tc>
          <w:tcPr/>
          <w:p>
            <w:pPr>
              <w:pStyle w:val="Compact"/>
            </w:pPr>
            <w:r>
              <w:t xml:space="preserve">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viol_off_2019</w:t>
            </w:r>
          </w:p>
        </w:tc>
        <w:tc>
          <w:tcPr/>
          <w:p>
            <w:pPr>
              <w:pStyle w:val="Compact"/>
            </w:pPr>
            <w:r>
              <w:t xml:space="preserve">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viol_off_2021</w:t>
            </w:r>
          </w:p>
        </w:tc>
        <w:tc>
          <w:tcPr/>
          <w:p>
            <w:pPr>
              <w:pStyle w:val="Compact"/>
            </w:pPr>
            <w:r>
              <w:t xml:space="preserve">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viol_off_2021</w:t>
            </w:r>
          </w:p>
        </w:tc>
        <w:tc>
          <w:tcPr/>
          <w:p>
            <w:pPr>
              <w:pStyle w:val="Compac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viol_cov_2019</w:t>
            </w:r>
          </w:p>
        </w:tc>
        <w:tc>
          <w:tcPr/>
          <w:p>
            <w:pPr>
              <w:pStyle w:val="Compact"/>
            </w:pPr>
            <w:r>
              <w:t xml:space="preserve">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viol_cov_2021</w:t>
            </w:r>
          </w:p>
        </w:tc>
        <w:tc>
          <w:tcPr/>
          <w:p>
            <w:pPr>
              <w:pStyle w:val="Compact"/>
            </w:pPr>
            <w:r>
              <w:t xml:space="preserve">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viol_cov_2021</w:t>
            </w:r>
          </w:p>
        </w:tc>
        <w:tc>
          <w:tcPr/>
          <w:p>
            <w:pPr>
              <w:pStyle w:val="Compac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0.0965</w:t>
            </w:r>
          </w:p>
        </w:tc>
      </w:tr>
    </w:tbl>
    <w:p>
      <w:pPr>
        <w:pStyle w:val="BodyText"/>
      </w:pPr>
      <w:r>
        <w:t xml:space="preserve">For a ZI random intercept the structural-zero probability must be read</w:t>
      </w:r>
      <w:r>
        <w:t xml:space="preserve"> </w:t>
      </w:r>
      <w:r>
        <w:rPr>
          <w:b/>
          <w:bCs/>
        </w:rPr>
        <w:t xml:space="preserve">marginally</w:t>
      </w:r>
      <w:r>
        <w:t xml:space="preserve">, not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plogis(b0)</w:t>
      </w:r>
      <w:r>
        <w:t xml:space="preserve">:</w:t>
      </w:r>
      <w:r>
        <w:t xml:space="preserve"> </w:t>
      </w:r>
      <w:r>
        <w:rPr>
          <w:rStyle w:val="VerbatimChar"/>
        </w:rPr>
        <w:t xml:space="preserve">insp_2019</w:t>
      </w:r>
      <w:r>
        <w:t xml:space="preserve">’s ZI RE SD is 6.04 on the logit scale, so the median-state</w:t>
      </w:r>
      <w:r>
        <w:t xml:space="preserve"> </w:t>
      </w:r>
      <w:r>
        <w:t xml:space="preserve">value is 0.0001 while the marginal is</w:t>
      </w:r>
      <w:r>
        <w:t xml:space="preserve"> </w:t>
      </w:r>
      <w:r>
        <w:rPr>
          <w:b/>
          <w:bCs/>
        </w:rPr>
        <w:t xml:space="preserve">0.0675</w:t>
      </w:r>
      <w:r>
        <w:t xml:space="preserve">, with 11.6% of states above 0.10.</w:t>
      </w:r>
    </w:p>
    <w:p>
      <w:pPr>
        <w:pStyle w:val="BodyText"/>
      </w:pPr>
      <w:r>
        <w:rPr>
          <w:rStyle w:val="VerbatimChar"/>
        </w:rPr>
        <w:t xml:space="preserve">dispersion</w:t>
      </w:r>
      <w:r>
        <w:t xml:space="preserve"> </w:t>
      </w:r>
      <w:r>
        <w:t xml:space="preserve">is θ for NB2 and the multiplier for NB1 — not a residual variance.</w:t>
      </w:r>
    </w:p>
    <w:p>
      <w:r>
        <w:pict>
          <v:rect style="width:0;height:1.5pt" o:hralign="center" o:hrstd="t" o:hr="t"/>
        </w:pict>
      </w:r>
    </w:p>
    <w:bookmarkEnd w:id="25"/>
    <w:bookmarkStart w:id="26" w:name="observed-vs-expected-zeros"/>
    <w:p>
      <w:pPr>
        <w:pStyle w:val="Heading2"/>
      </w:pPr>
      <w:r>
        <w:t xml:space="preserve">Observed vs expected zeros</w:t>
      </w:r>
    </w:p>
    <w:p>
      <w:pPr>
        <w:pStyle w:val="FirstParagraph"/>
      </w:pPr>
      <w:r>
        <w:t xml:space="preserve">Expected counts are means over 2000 simulations from each fitted model;</w:t>
      </w:r>
      <w:r>
        <w:t xml:space="preserve"> </w:t>
      </w:r>
      <w:r>
        <w:rPr>
          <w:rStyle w:val="VerbatimChar"/>
        </w:rPr>
        <w:t xml:space="preserve">±</w:t>
      </w:r>
      <w:r>
        <w:t xml:space="preserve"> </w:t>
      </w:r>
      <w:r>
        <w:t xml:space="preserve">is the</w:t>
      </w:r>
      <w:r>
        <w:t xml:space="preserve"> </w:t>
      </w:r>
      <w:r>
        <w:t xml:space="preserve">Monte-Carlo SE.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Cell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Observed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insp_2019</w:t>
            </w:r>
          </w:p>
        </w:tc>
        <w:tc>
          <w:tcPr/>
          <w:p>
            <w:pPr>
              <w:pStyle w:val="Compact"/>
            </w:pPr>
            <w:r>
              <w:t xml:space="preserve">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29.89 ± 0.29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insp_2021</w:t>
            </w:r>
          </w:p>
        </w:tc>
        <w:tc>
          <w:tcPr/>
          <w:p>
            <w:pPr>
              <w:pStyle w:val="Compact"/>
            </w:pPr>
            <w:r>
              <w:t xml:space="preserve">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7.47 ± 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viol_off_2019</w:t>
            </w:r>
          </w:p>
        </w:tc>
        <w:tc>
          <w:tcPr/>
          <w:p>
            <w:pPr>
              <w:pStyle w:val="Compact"/>
            </w:pPr>
            <w:r>
              <w:t xml:space="preserve">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35.45 ± 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viol_off_2021</w:t>
            </w:r>
          </w:p>
        </w:tc>
        <w:tc>
          <w:tcPr/>
          <w:p>
            <w:pPr>
              <w:pStyle w:val="Compact"/>
            </w:pPr>
            <w:r>
              <w:t xml:space="preserve">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99.18 ± 0.31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viol_off_2021</w:t>
            </w:r>
          </w:p>
        </w:tc>
        <w:tc>
          <w:tcPr/>
          <w:p>
            <w:pPr>
              <w:pStyle w:val="Compac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74.30 ± 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viol_cov_2019</w:t>
            </w:r>
          </w:p>
        </w:tc>
        <w:tc>
          <w:tcPr/>
          <w:p>
            <w:pPr>
              <w:pStyle w:val="Compact"/>
            </w:pPr>
            <w:r>
              <w:t xml:space="preserve">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21.12 ± 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viol_cov_2021</w:t>
            </w:r>
          </w:p>
        </w:tc>
        <w:tc>
          <w:tcPr/>
          <w:p>
            <w:pPr>
              <w:pStyle w:val="Compact"/>
            </w:pPr>
            <w:r>
              <w:t xml:space="preserve">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89.41 ± 0.31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viol_cov_2021</w:t>
            </w:r>
          </w:p>
        </w:tc>
        <w:tc>
          <w:tcPr/>
          <w:p>
            <w:pPr>
              <w:pStyle w:val="Compact"/>
            </w:pPr>
            <w:r>
              <w:t xml:space="preserve">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73.14 ± 0.26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</w:tr>
    </w:tbl>
    <w:p>
      <w:pPr>
        <w:pStyle w:val="BodyText"/>
      </w:pPr>
      <w:r>
        <w:t xml:space="preserve">The 2021 cells reproduce their zero counts closely.</w:t>
      </w:r>
      <w:r>
        <w:t xml:space="preserve"> </w:t>
      </w:r>
      <w:r>
        <w:rPr>
          <w:b/>
          <w:bCs/>
        </w:rPr>
        <w:t xml:space="preserve">Both 2019 violations cells are</w:t>
      </w:r>
      <w:r>
        <w:rPr>
          <w:b/>
          <w:bCs/>
        </w:rPr>
        <w:t xml:space="preserve"> </w:t>
      </w:r>
      <w:r>
        <w:rPr>
          <w:b/>
          <w:bCs/>
        </w:rPr>
        <w:t xml:space="preserve">zero-deflated</w:t>
      </w:r>
      <w:r>
        <w:t xml:space="preserve"> </w:t>
      </w:r>
      <w:r>
        <w:t xml:space="preserve">— every family overpredicts, by 2.3–7.9× across the ladder — which is why</w:t>
      </w:r>
      <w:r>
        <w:t xml:space="preserve"> </w:t>
      </w:r>
      <w:r>
        <w:t xml:space="preserve">all three zero-inflated families are degenerate there at Model 3.</w:t>
      </w:r>
      <w:r>
        <w:t xml:space="preserve"> </w:t>
      </w:r>
      <w:r>
        <w:rPr>
          <w:rStyle w:val="VerbatimChar"/>
        </w:rPr>
        <w:t xml:space="preserve">insp_2019</w:t>
      </w:r>
      <w:r>
        <w:t xml:space="preserve"> </w:t>
      </w:r>
      <w:r>
        <w:t xml:space="preserve">is the one</w:t>
      </w:r>
      <w:r>
        <w:t xml:space="preserve"> </w:t>
      </w:r>
      <w:r>
        <w:t xml:space="preserve">cell where a credible competitor (ZINB, ΔAIC 4.03) fits zeros better (29.89 vs 5.28), and</w:t>
      </w:r>
      <w:r>
        <w:t xml:space="preserve"> </w:t>
      </w:r>
      <w:r>
        <w:t xml:space="preserve">its 4 remaining zeros are exactly the</w:t>
      </w:r>
      <w:r>
        <w:t xml:space="preserve"> </w:t>
      </w:r>
      <w:r>
        <w:rPr>
          <w:rStyle w:val="VerbatimChar"/>
        </w:rPr>
        <w:t xml:space="preserve">fillna(0)</w:t>
      </w:r>
      <w:r>
        <w:t xml:space="preserve"> </w:t>
      </w:r>
      <w:r>
        <w:t xml:space="preserve">cases.</w:t>
      </w:r>
    </w:p>
    <w:p>
      <w:r>
        <w:pict>
          <v:rect style="width:0;height:1.5pt" o:hralign="center" o:hrstd="t" o:hr="t"/>
        </w:pict>
      </w:r>
    </w:p>
    <w:bookmarkEnd w:id="26"/>
    <w:bookmarkStart w:id="27" w:name="X849710fab3dd50f1353186341e31f855646f45f"/>
    <w:p>
      <w:pPr>
        <w:pStyle w:val="Heading2"/>
      </w:pPr>
      <w:r>
        <w:t xml:space="preserve">Cross-software check on the zero-inflation component</w:t>
      </w:r>
    </w:p>
    <w:p>
      <w:pPr>
        <w:pStyle w:val="FirstParagraph"/>
      </w:pPr>
      <w:r>
        <w:rPr>
          <w:rStyle w:val="VerbatimChar"/>
        </w:rPr>
        <w:t xml:space="preserve">statsmodels.ZeroInflatedNegativeBinomialP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state fixed effects</w:t>
      </w:r>
      <w:r>
        <w:t xml:space="preserve"> </w:t>
      </w:r>
      <w:r>
        <w:t xml:space="preserve">instead of random</w:t>
      </w:r>
      <w:r>
        <w:t xml:space="preserve"> </w:t>
      </w:r>
      <w:r>
        <w:t xml:space="preserve">effects, as an independent confirmation.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statsmodels ZI intercept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glmmTMB</w:t>
            </w:r>
            <w:r>
              <w:t xml:space="preserve"> </w:t>
            </w:r>
            <w:r>
              <w:t xml:space="preserve">ZI intercept</w:t>
            </w:r>
          </w:p>
        </w:tc>
        <w:tc>
          <w:tcPr/>
          <w:p>
            <w:pPr>
              <w:pStyle w:val="Compact"/>
            </w:pPr>
            <w:r>
              <w:t xml:space="preserve">Converged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insp_2021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−4.4578 (0.4248)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−4.4057 (0.4276)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viol_cov_2021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−2.2815 (0.2110)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</w:tr>
    </w:tbl>
    <w:p>
      <w:pPr>
        <w:pStyle w:val="BodyText"/>
      </w:pPr>
      <w:r>
        <w:t xml:space="preserve">Different package, different treatment of the state dimension, essentially the same answer</w:t>
      </w:r>
      <w:r>
        <w:t xml:space="preserve"> </w:t>
      </w:r>
      <w:r>
        <w:t xml:space="preserve">for inspections. The violations check did not converge — the entire parameter vector</w:t>
      </w:r>
      <w:r>
        <w:t xml:space="preserve"> </w:t>
      </w:r>
      <w:r>
        <w:t xml:space="preserve">diverged on a full-rank design, the known incidental-parameters fragility of a ~53-parameter</w:t>
      </w:r>
      <w:r>
        <w:t xml:space="preserve"> </w:t>
      </w:r>
      <w:r>
        <w:t xml:space="preserve">fixed-effects count mixture — so it carries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interpretive weight either way.</w:t>
      </w:r>
    </w:p>
    <w:p>
      <w:r>
        <w:pict>
          <v:rect style="width:0;height:1.5pt" o:hralign="center" o:hrstd="t" o:hr="t"/>
        </w:pict>
      </w:r>
    </w:p>
    <w:bookmarkEnd w:id="27"/>
    <w:bookmarkStart w:id="28" w:name="covid-robustness-20112021"/>
    <w:p>
      <w:pPr>
        <w:pStyle w:val="Heading2"/>
      </w:pPr>
      <w:r>
        <w:t xml:space="preserve">COVID robustness (2011–2021)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Cell</w:t>
            </w:r>
          </w:p>
        </w:tc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COVID b (SE)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IRR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insp_2021</w:t>
            </w:r>
          </w:p>
        </w:tc>
        <w:tc>
          <w:tcPr/>
          <w:p>
            <w:pPr>
              <w:pStyle w:val="Compact"/>
            </w:pPr>
            <w:r>
              <w:t xml:space="preserve">ZINB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−0.4160 (0.1328)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viol_cov_2021</w:t>
            </w:r>
          </w:p>
        </w:tc>
        <w:tc>
          <w:tcPr/>
          <w:p>
            <w:pPr>
              <w:pStyle w:val="Compact"/>
            </w:pPr>
            <w:r>
              <w:t xml:space="preserve">NB1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−0.2786 (0.1676)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0.757</w:t>
            </w:r>
          </w:p>
        </w:tc>
      </w:tr>
    </w:tbl>
    <w:p>
      <w:pPr>
        <w:pStyle w:val="BodyText"/>
      </w:pPr>
      <w:r>
        <w:t xml:space="preserve">Inspections keeps the log-linear result’s sign and significance (log-linear: −0.590*</w:t>
      </w:r>
      <w:r>
        <w:rPr>
          <w:b/>
          <w:bCs/>
        </w:rPr>
        <w:t xml:space="preserve">).</w:t>
      </w:r>
      <w:r>
        <w:rPr>
          <w:b/>
          <w:bCs/>
        </w:rPr>
        <w:t xml:space="preserve"> </w:t>
      </w:r>
      <w:r>
        <w:t xml:space="preserve">Violations do not.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CLAUDE.md</w:t>
      </w:r>
      <w:r>
        <w:rPr>
          <w:b/>
          <w:bCs/>
        </w:rPr>
        <w:t xml:space="preserve"> </w:t>
      </w:r>
      <w:r>
        <w:rPr>
          <w:b/>
          <w:bCs/>
        </w:rPr>
        <w:t xml:space="preserve">previously recorded that the violations time terms</w:t>
      </w:r>
      <w:r>
        <w:rPr>
          <w:b/>
          <w:bCs/>
        </w:rPr>
        <w:t xml:space="preserve"> </w:t>
      </w:r>
      <w:r>
        <w:rPr>
          <w:b/>
          <w:bCs/>
        </w:rPr>
        <w:t xml:space="preserve">“barely move”</w:t>
      </w:r>
      <w:r>
        <w:rPr>
          <w:b/>
          <w:bCs/>
        </w:rPr>
        <w:t xml:space="preserve">; under NB1 the indicator is −0.279 (p≈0.096)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time2</w:t>
      </w:r>
      <w:r>
        <w:rPr>
          <w:b/>
          <w:bCs/>
        </w:rPr>
        <w:t xml:space="preserve"> </w:t>
      </w:r>
      <w:r>
        <w:rPr>
          <w:b/>
          <w:bCs/>
        </w:rPr>
        <w:t xml:space="preserve">goes from</w:t>
      </w:r>
      <w:r>
        <w:rPr>
          <w:b/>
          <w:bCs/>
        </w:rPr>
        <w:t xml:space="preserve"> </w:t>
      </w:r>
      <w:r>
        <w:rPr>
          <w:b/>
          <w:bCs/>
        </w:rPr>
        <w:t xml:space="preserve">p≈2.0e-5 to</w:t>
      </w:r>
      <w:r>
        <w:rPr>
          <w:b/>
          <w:bCs/>
        </w:rPr>
        <w:t xml:space="preserve"> </w:t>
      </w:r>
      <w:r>
        <w:t xml:space="preserve">p≈0.26** once it is added. That table is less COVID-robust than the</w:t>
      </w:r>
      <w:r>
        <w:t xml:space="preserve"> </w:t>
      </w:r>
      <w:r>
        <w:t xml:space="preserve">log-linear check implied.</w:t>
      </w:r>
    </w:p>
    <w:p>
      <w:r>
        <w:pict>
          <v:rect style="width:0;height:1.5pt" o:hralign="center" o:hrstd="t" o:hr="t"/>
        </w:pict>
      </w:r>
    </w:p>
    <w:bookmarkEnd w:id="28"/>
    <w:bookmarkStart w:id="29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two windows are different measures, not a longer one.</w:t>
      </w:r>
      <w:r>
        <w:t xml:space="preserve"> </w:t>
      </w:r>
      <w:r>
        <w:t xml:space="preserve">WPS-view counts run 2–3×</w:t>
      </w:r>
      <w:r>
        <w:t xml:space="preserve"> </w:t>
      </w:r>
      <w:r>
        <w:t xml:space="preserve">the establishments-view counts and correlate ≈0 from 2017 on. The count models find this</w:t>
      </w:r>
      <w:r>
        <w:t xml:space="preserve"> </w:t>
      </w:r>
      <w:r>
        <w:t xml:space="preserve">independently: log within-state variance on log within-state mean gives an exponent of</w:t>
      </w:r>
      <w:r>
        <w:t xml:space="preserve"> </w:t>
      </w:r>
      <w:r>
        <w:t xml:space="preserve">2.01 for 2019 violations (NB2’s quadratic form) against 1.46 for 2021 (NB1’s linear form),</w:t>
      </w:r>
      <w:r>
        <w:t xml:space="preserve"> </w:t>
      </w:r>
      <w:r>
        <w:t xml:space="preserve">which is why the selected family differs by window.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ZI-NB1 rung was fit.</w:t>
      </w:r>
      <w:r>
        <w:t xml:space="preserve"> </w:t>
      </w:r>
      <w:r>
        <w:t xml:space="preserve">The six families are fixed by spec and every ZI rung is</w:t>
      </w:r>
      <w:r>
        <w:t xml:space="preserve"> </w:t>
      </w:r>
      <w:r>
        <w:t xml:space="preserve">NB2-based, so plain NB1 won the two 2021 violations cells against a candidate set lacking</w:t>
      </w:r>
      <w:r>
        <w:t xml:space="preserve"> </w:t>
      </w:r>
      <w:r>
        <w:t xml:space="preserve">its own zero-inflated counterpart. The ZINB-vs-NB2 comparison (17–0) is what isolates the</w:t>
      </w:r>
      <w:r>
        <w:t xml:space="preserve"> </w:t>
      </w:r>
      <w:r>
        <w:t xml:space="preserve">inflation effect cleanly.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Spec §5.5 expanded-ZI sensitivity</w:t>
      </w:r>
      <w:r>
        <w:t xml:space="preserve"> </w:t>
      </w:r>
      <w:r>
        <w:t xml:space="preserve">(spending + labour intensity in the ZI part)</w:t>
      </w:r>
      <w:r>
        <w:t xml:space="preserve"> </w:t>
      </w:r>
      <w:r>
        <w:t xml:space="preserve">converges in 3 of 6 cells (</w:t>
      </w:r>
      <w:r>
        <w:rPr>
          <w:rStyle w:val="VerbatimChar"/>
        </w:rPr>
        <w:t xml:space="preserve">insp_2019</w:t>
      </w:r>
      <w:r>
        <w:t xml:space="preserve">,</w:t>
      </w:r>
      <w:r>
        <w:t xml:space="preserve"> </w:t>
      </w:r>
      <w:r>
        <w:rPr>
          <w:rStyle w:val="VerbatimChar"/>
        </w:rPr>
        <w:t xml:space="preserve">insp_2021</w:t>
      </w:r>
      <w:r>
        <w:t xml:space="preserve">,</w:t>
      </w:r>
      <w:r>
        <w:t xml:space="preserve"> </w:t>
      </w:r>
      <w:r>
        <w:rPr>
          <w:rStyle w:val="VerbatimChar"/>
        </w:rPr>
        <w:t xml:space="preserve">viol_off_2019</w:t>
      </w:r>
      <w:r>
        <w:t xml:space="preserve">) and returns a</w:t>
      </w:r>
      <w:r>
        <w:t xml:space="preserve"> </w:t>
      </w:r>
      <w:r>
        <w:t xml:space="preserve">non-positive-definite Hessian in the other three. Never entered selection.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Boundary LRTs.</w:t>
      </w:r>
      <w:r>
        <w:t xml:space="preserve"> </w:t>
      </w:r>
      <w:r>
        <w:t xml:space="preserve">6 of 30 likelihood-ratio tests are ZINB + ZI RE vs ZINB, where the</w:t>
      </w:r>
      <w:r>
        <w:t xml:space="preserve"> </w:t>
      </w:r>
      <w:r>
        <w:t xml:space="preserve">null sits on the parameter-space boundary; the reference is a ½χ²₀ + ½χ²₁ mixture, so the</w:t>
      </w:r>
      <w:r>
        <w:t xml:space="preserve"> </w:t>
      </w:r>
      <w:r>
        <w:t xml:space="preserve">nominal p is roughly 2× too large — conservative.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separate finding, not a count-model result:</w:t>
      </w:r>
      <w:r>
        <w:t xml:space="preserve"> </w:t>
      </w:r>
      <w:r>
        <w:t xml:space="preserve">three fits behind the published tables</w:t>
      </w:r>
      <w:r>
        <w:t xml:space="preserve"> </w:t>
      </w:r>
      <w:r>
        <w:t xml:space="preserve">never converged (2011–2021 violations M1; 2011–2019 inspections M1 and violations M2),</w:t>
      </w:r>
      <w:r>
        <w:t xml:space="preserve"> </w:t>
      </w:r>
      <w:r>
        <w:t xml:space="preserve">hidden by a module-level</w:t>
      </w:r>
      <w:r>
        <w:t xml:space="preserve"> </w:t>
      </w:r>
      <w:r>
        <w:rPr>
          <w:rStyle w:val="VerbatimChar"/>
        </w:rPr>
        <w:t xml:space="preserve">warnings.filterwarnings('ignore')</w:t>
      </w:r>
      <w:r>
        <w:t xml:space="preserve">. One materially affects a</w:t>
      </w:r>
      <w:r>
        <w:t xml:space="preserve"> </w:t>
      </w:r>
      <w:r>
        <w:t xml:space="preserve">printed coefficient. Both variance-explained blocks are unaffected. See</w:t>
      </w:r>
      <w:r>
        <w:t xml:space="preserve"> </w:t>
      </w:r>
      <w:r>
        <w:rPr>
          <w:rStyle w:val="VerbatimChar"/>
        </w:rPr>
        <w:t xml:space="preserve">docs/count_models_zinb.md</w:t>
      </w:r>
      <w:r>
        <w:t xml:space="preserve">; nothing in the manuscript pipeline was changed.</w:t>
      </w:r>
    </w:p>
    <w:p>
      <w:pPr>
        <w:pStyle w:val="FirstParagraph"/>
      </w:pPr>
      <w:r>
        <w:rPr>
          <w:b/>
          <w:bCs/>
        </w:rPr>
        <w:t xml:space="preserve">Reproduce:</w:t>
      </w:r>
      <w:r>
        <w:t xml:space="preserve"> </w:t>
      </w:r>
      <w:r>
        <w:rPr>
          <w:rStyle w:val="VerbatimChar"/>
        </w:rPr>
        <w:t xml:space="preserve">Rscript scripts/r_env_check.R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python3 scripts/build_count_model_panel.py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Rscript scripts/count_models_zinb.R data/generated/count_model_panel_2021.csv data/generated/count_model_results.json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python3 scripts/build_count_model_memo_evidence.py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python3 scripts/report_count_models.py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python3 scripts/validate_count_models.py</w:t>
      </w:r>
      <w:r>
        <w:t xml:space="preserve"> </w:t>
      </w:r>
      <w:r>
        <w:t xml:space="preserve">(2277 checks must pass).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2026-08-23T05:20:03Z</dcterms:created>
  <dcterms:modified xsi:type="dcterms:W3CDTF">2026-08-23T05:20:03Z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