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ind w:left="0"/>
        <w:jc w:val="center"/>
      </w:pPr>
      <w:r>
        <w:rPr>
          <w:rFonts w:ascii="Times New Roman" w:hAnsi="Times New Roman"/>
          <w:b/>
          <w:i w:val="0"/>
          <w:sz w:val="32"/>
        </w:rPr>
        <w:t>FORM 2</w:t>
      </w:r>
    </w:p>
    <w:p>
      <w:pPr>
        <w:spacing w:before="0" w:after="120"/>
        <w:ind w:left="0"/>
        <w:jc w:val="center"/>
      </w:pPr>
      <w:r>
        <w:rPr>
          <w:rFonts w:ascii="Times New Roman" w:hAnsi="Times New Roman"/>
          <w:b/>
          <w:i w:val="0"/>
          <w:sz w:val="28"/>
        </w:rPr>
        <w:t>PROVISIONAL SPECIFICATION</w:t>
      </w:r>
    </w:p>
    <w:p>
      <w:pPr>
        <w:spacing w:before="0" w:after="360"/>
        <w:ind w:left="0"/>
        <w:jc w:val="center"/>
      </w:pPr>
      <w:r>
        <w:rPr>
          <w:rFonts w:ascii="Times New Roman" w:hAnsi="Times New Roman"/>
          <w:b w:val="0"/>
          <w:i/>
          <w:sz w:val="22"/>
        </w:rPr>
        <w:t>[See Section 9, Rule 13 — Patents Act 1970 &amp; Patents Rules 2003]</w:t>
      </w:r>
    </w:p>
    <w:p>
      <w:pPr>
        <w:spacing w:before="0" w:after="480"/>
        <w:ind w:left="0"/>
        <w:jc w:val="center"/>
      </w:pPr>
      <w:r>
        <w:rPr>
          <w:rFonts w:ascii="Times New Roman" w:hAnsi="Times New Roman"/>
          <w:b/>
          <w:i w:val="0"/>
          <w:sz w:val="24"/>
        </w:rPr>
        <w:t>THE PATENT OFFICE, INDIA</w:t>
      </w:r>
    </w:p>
    <w:p>
      <w:pPr>
        <w:spacing w:before="80" w:after="80"/>
        <w:ind w:left="0"/>
        <w:jc w:val="center"/>
      </w:pPr>
      <w:r>
        <w:rPr>
          <w:rFonts w:ascii="Times New Roman" w:hAnsi="Times New Roman"/>
          <w:b w:val="0"/>
          <w:i/>
          <w:sz w:val="18"/>
        </w:rPr>
        <w:t>─────────────────────────────────────────────────────────────────</w:t>
      </w:r>
    </w:p>
    <w:p>
      <w:pPr>
        <w:spacing w:before="240" w:after="120"/>
        <w:ind w:left="0"/>
        <w:jc w:val="center"/>
      </w:pPr>
      <w:r>
        <w:rPr>
          <w:rFonts w:ascii="Times New Roman" w:hAnsi="Times New Roman"/>
          <w:b/>
          <w:i w:val="0"/>
          <w:sz w:val="24"/>
        </w:rPr>
        <w:t>TITLE OF THE INVENTION:</w:t>
      </w:r>
    </w:p>
    <w:p>
      <w:pPr>
        <w:spacing w:before="0" w:after="480"/>
        <w:ind w:left="0"/>
        <w:jc w:val="center"/>
      </w:pPr>
      <w:r>
        <w:rPr>
          <w:rFonts w:ascii="Times New Roman" w:hAnsi="Times New Roman"/>
          <w:b/>
          <w:i w:val="0"/>
          <w:sz w:val="26"/>
        </w:rPr>
        <w:t>ORBITGNN: A PHYSICS-INFORMED GRAPH NEURAL NETWORK SYSTEM AND METHOD</w:t>
        <w:br/>
        <w:t>FOR SATELLITE MANOEUVRE DETECTION AND DELTA-VELOCITY ESTIMATION</w:t>
        <w:br/>
        <w:t>USING PUBLICLY AVAILABLE TWO-LINE ELEMENT ORBITAL DATA</w:t>
      </w:r>
    </w:p>
    <w:p>
      <w:pPr>
        <w:spacing w:before="80" w:after="80"/>
        <w:ind w:left="0"/>
        <w:jc w:val="center"/>
      </w:pPr>
      <w:r>
        <w:rPr>
          <w:rFonts w:ascii="Times New Roman" w:hAnsi="Times New Roman"/>
          <w:b w:val="0"/>
          <w:i/>
          <w:sz w:val="18"/>
        </w:rPr>
        <w:t>─────────────────────────────────────────────────────────────────</w:t>
      </w:r>
    </w:p>
    <w:tbl>
      <w:tblPr>
        <w:tblStyle w:val="TableGrid"/>
        <w:tblW w:type="auto" w:w="0"/>
        <w:tblLook w:firstColumn="1" w:firstRow="1" w:lastColumn="0" w:lastRow="0" w:noHBand="0" w:noVBand="1" w:val="04A0"/>
      </w:tblPr>
      <w:tblGrid>
        <w:gridCol w:w="4110"/>
        <w:gridCol w:w="4110"/>
      </w:tblGrid>
      <w:tr>
        <w:tc>
          <w:tcPr>
            <w:tcW w:type="dxa" w:w="4110"/>
          </w:tcPr>
          <w:p>
            <w:r>
              <w:rPr>
                <w:rFonts w:ascii="Times New Roman" w:hAnsi="Times New Roman"/>
                <w:b/>
                <w:sz w:val="24"/>
              </w:rPr>
              <w:t>Inventors</w:t>
            </w:r>
          </w:p>
        </w:tc>
        <w:tc>
          <w:tcPr>
            <w:tcW w:type="dxa" w:w="4110"/>
          </w:tcPr>
          <w:p>
            <w:r>
              <w:rPr>
                <w:rFonts w:ascii="Times New Roman" w:hAnsi="Times New Roman"/>
                <w:sz w:val="24"/>
              </w:rPr>
              <w:t>Chunduri Sai Kaushik</w:t>
              <w:br/>
              <w:t>Keshav Gujrathi</w:t>
            </w:r>
          </w:p>
        </w:tc>
      </w:tr>
      <w:tr>
        <w:tc>
          <w:tcPr>
            <w:tcW w:type="dxa" w:w="4110"/>
          </w:tcPr>
          <w:p>
            <w:r>
              <w:rPr>
                <w:rFonts w:ascii="Times New Roman" w:hAnsi="Times New Roman"/>
                <w:b/>
                <w:sz w:val="24"/>
              </w:rPr>
              <w:t>Applicant</w:t>
            </w:r>
          </w:p>
        </w:tc>
        <w:tc>
          <w:tcPr>
            <w:tcW w:type="dxa" w:w="4110"/>
          </w:tcPr>
          <w:p>
            <w:r>
              <w:rPr>
                <w:rFonts w:ascii="Times New Roman" w:hAnsi="Times New Roman"/>
                <w:sz w:val="24"/>
              </w:rPr>
              <w:t>[INSTITUTION NAME]</w:t>
            </w:r>
          </w:p>
        </w:tc>
      </w:tr>
      <w:tr>
        <w:tc>
          <w:tcPr>
            <w:tcW w:type="dxa" w:w="4110"/>
          </w:tcPr>
          <w:p>
            <w:r>
              <w:rPr>
                <w:rFonts w:ascii="Times New Roman" w:hAnsi="Times New Roman"/>
                <w:b/>
                <w:sz w:val="24"/>
              </w:rPr>
              <w:t>Application No.</w:t>
            </w:r>
          </w:p>
        </w:tc>
        <w:tc>
          <w:tcPr>
            <w:tcW w:type="dxa" w:w="4110"/>
          </w:tcPr>
          <w:p>
            <w:r>
              <w:rPr>
                <w:rFonts w:ascii="Times New Roman" w:hAnsi="Times New Roman"/>
                <w:sz w:val="24"/>
              </w:rPr>
              <w:t>To be allotted by Patent Office</w:t>
            </w:r>
          </w:p>
        </w:tc>
      </w:tr>
      <w:tr>
        <w:tc>
          <w:tcPr>
            <w:tcW w:type="dxa" w:w="4110"/>
          </w:tcPr>
          <w:p>
            <w:r>
              <w:rPr>
                <w:rFonts w:ascii="Times New Roman" w:hAnsi="Times New Roman"/>
                <w:b/>
                <w:sz w:val="24"/>
              </w:rPr>
              <w:t>Date of Filing</w:t>
            </w:r>
          </w:p>
        </w:tc>
        <w:tc>
          <w:tcPr>
            <w:tcW w:type="dxa" w:w="4110"/>
          </w:tcPr>
          <w:p>
            <w:r>
              <w:rPr>
                <w:rFonts w:ascii="Times New Roman" w:hAnsi="Times New Roman"/>
                <w:sz w:val="24"/>
              </w:rPr>
              <w:t>________________</w:t>
            </w:r>
          </w:p>
        </w:tc>
      </w:tr>
      <w:tr>
        <w:tc>
          <w:tcPr>
            <w:tcW w:type="dxa" w:w="4110"/>
          </w:tcPr>
          <w:p>
            <w:r>
              <w:rPr>
                <w:rFonts w:ascii="Times New Roman" w:hAnsi="Times New Roman"/>
                <w:b/>
                <w:sz w:val="24"/>
              </w:rPr>
              <w:t>Specification Type</w:t>
            </w:r>
          </w:p>
        </w:tc>
        <w:tc>
          <w:tcPr>
            <w:tcW w:type="dxa" w:w="4110"/>
          </w:tcPr>
          <w:p>
            <w:r>
              <w:rPr>
                <w:rFonts w:ascii="Times New Roman" w:hAnsi="Times New Roman"/>
                <w:sz w:val="24"/>
              </w:rPr>
              <w:t>Provisional Specification</w:t>
            </w:r>
          </w:p>
        </w:tc>
      </w:tr>
      <w:tr>
        <w:tc>
          <w:tcPr>
            <w:tcW w:type="dxa" w:w="4110"/>
          </w:tcPr>
          <w:p>
            <w:r>
              <w:rPr>
                <w:rFonts w:ascii="Times New Roman" w:hAnsi="Times New Roman"/>
                <w:b/>
                <w:sz w:val="24"/>
              </w:rPr>
              <w:t>Technical Field</w:t>
            </w:r>
          </w:p>
        </w:tc>
        <w:tc>
          <w:tcPr>
            <w:tcW w:type="dxa" w:w="4110"/>
          </w:tcPr>
          <w:p>
            <w:r>
              <w:rPr>
                <w:rFonts w:ascii="Times New Roman" w:hAnsi="Times New Roman"/>
                <w:sz w:val="24"/>
              </w:rPr>
              <w:t>Space Technology / Machine Learning / Satellite Orbit Determination</w:t>
            </w:r>
          </w:p>
        </w:tc>
      </w:tr>
    </w:tbl>
    <w:p>
      <w:r>
        <w:br w:type="page"/>
      </w:r>
    </w:p>
    <w:p>
      <w:pPr>
        <w:spacing w:before="360" w:after="120"/>
      </w:pPr>
      <w:r>
        <w:rPr>
          <w:rFonts w:ascii="Times New Roman" w:hAnsi="Times New Roman"/>
          <w:b/>
          <w:sz w:val="24"/>
        </w:rPr>
        <w:t>1. FIELD OF THE INVENTION</w:t>
      </w:r>
    </w:p>
    <w:p>
      <w:pPr>
        <w:spacing w:line="480" w:lineRule="auto" w:before="0" w:after="0"/>
        <w:ind w:left="0"/>
        <w:jc w:val="both"/>
      </w:pPr>
      <w:r>
        <w:rPr>
          <w:rFonts w:ascii="Times New Roman" w:hAnsi="Times New Roman"/>
          <w:b w:val="0"/>
          <w:i w:val="0"/>
          <w:sz w:val="24"/>
        </w:rPr>
        <w:t>The present invention relates to the technical fields of space situational awareness, satellite orbit determination, and machine learning. More particularly, the invention provides a system and method — designated herein as "OrbitGNN" — that integrates orbital physics propagation with Graph Neural Networks (GNNs) to automatically detect satellite orbital manoeuvres and estimate the associated delta-velocity (ΔV) using only publicly available Two-Line Element (TLE) data, without requiring access to proprietary satellite telemetry, ground-station measurement data, or onboard propulsion system information.</w:t>
      </w:r>
    </w:p>
    <w:p>
      <w:pPr>
        <w:spacing w:line="480" w:lineRule="auto" w:before="0" w:after="0"/>
        <w:ind w:left="0"/>
        <w:jc w:val="both"/>
      </w:pPr>
      <w:r>
        <w:rPr>
          <w:rFonts w:ascii="Times New Roman" w:hAnsi="Times New Roman"/>
          <w:b w:val="0"/>
          <w:i w:val="0"/>
          <w:sz w:val="24"/>
        </w:rPr>
        <w:t>The invention has direct applications in space traffic management, collision avoidance, debris monitoring, satellite health assessment, manoeuvre characterisation, and autonomous constellation management.</w:t>
      </w:r>
    </w:p>
    <w:p>
      <w:pPr>
        <w:spacing w:before="360" w:after="120"/>
      </w:pPr>
      <w:r>
        <w:rPr>
          <w:rFonts w:ascii="Times New Roman" w:hAnsi="Times New Roman"/>
          <w:b/>
          <w:sz w:val="24"/>
        </w:rPr>
        <w:t>2. BACKGROUND OF THE INVENTION</w:t>
      </w:r>
    </w:p>
    <w:p>
      <w:pPr>
        <w:spacing w:before="240" w:after="80"/>
      </w:pPr>
      <w:r>
        <w:rPr>
          <w:rFonts w:ascii="Times New Roman" w:hAnsi="Times New Roman"/>
          <w:b/>
          <w:i/>
          <w:sz w:val="24"/>
        </w:rPr>
        <w:t>2.1  The Problem</w:t>
      </w:r>
    </w:p>
    <w:p>
      <w:pPr>
        <w:spacing w:line="480" w:lineRule="auto" w:before="0" w:after="0"/>
        <w:ind w:left="0"/>
        <w:jc w:val="both"/>
      </w:pPr>
      <w:r>
        <w:rPr>
          <w:rFonts w:ascii="Times New Roman" w:hAnsi="Times New Roman"/>
          <w:b w:val="0"/>
          <w:i w:val="0"/>
          <w:sz w:val="24"/>
        </w:rPr>
        <w:t>As of 2024, more than 27,000 artificial objects are catalogued in Earth orbit. Active satellites periodically perform orbital manoeuvres — controlled propulsion burns — for station-keeping, collision avoidance, or ground-track adjustments. When a manoeuvre occurs, ground operators must be alerted promptly to update conjunction screening data. A delay of even a few hours increases collision risk and can contribute to the Kessler cascade. The primary source of publicly available orbital data — the Two-Line Element (TLE) set — provides six mean Keplerian elements (a, e, i, Ω, ω, M) for each satellite at irregular publication intervals, typically 6–36 hours after a manoeuvre occurs.</w:t>
      </w:r>
    </w:p>
    <w:p>
      <w:pPr>
        <w:spacing w:before="240" w:after="80"/>
      </w:pPr>
      <w:r>
        <w:rPr>
          <w:rFonts w:ascii="Times New Roman" w:hAnsi="Times New Roman"/>
          <w:b/>
          <w:i/>
          <w:sz w:val="24"/>
        </w:rPr>
        <w:t>2.2  Limitations of Existing Methods</w:t>
      </w:r>
    </w:p>
    <w:p>
      <w:pPr>
        <w:spacing w:line="480" w:lineRule="auto" w:before="0" w:after="0"/>
        <w:ind w:left="0"/>
        <w:jc w:val="both"/>
      </w:pPr>
      <w:r>
        <w:rPr>
          <w:rFonts w:ascii="Times New Roman" w:hAnsi="Times New Roman"/>
          <w:b w:val="0"/>
          <w:i w:val="0"/>
          <w:sz w:val="24"/>
        </w:rPr>
        <w:t>Prior art methods for TLE-based manoeuvre detection have five critical limitations:</w:t>
      </w:r>
    </w:p>
    <w:p>
      <w:pPr>
        <w:spacing w:line="480" w:lineRule="auto" w:before="80" w:after="0"/>
        <w:ind w:left="567"/>
      </w:pPr>
      <w:r>
        <w:rPr>
          <w:rFonts w:ascii="Times New Roman" w:hAnsi="Times New Roman"/>
          <w:b/>
          <w:sz w:val="24"/>
        </w:rPr>
        <w:t xml:space="preserve">(a) Synthetic data only: </w:t>
      </w:r>
      <w:r>
        <w:rPr>
          <w:rFonts w:ascii="Times New Roman" w:hAnsi="Times New Roman"/>
          <w:sz w:val="24"/>
        </w:rPr>
        <w:t>All known ML approaches train and test on synthetically generated TLEs with idealised noise models that do not reflect real TLE publication cadences or actual radar/optical measurement noise.</w:t>
      </w:r>
    </w:p>
    <w:p>
      <w:pPr>
        <w:spacing w:line="480" w:lineRule="auto" w:before="80" w:after="0"/>
        <w:ind w:left="567"/>
      </w:pPr>
      <w:r>
        <w:rPr>
          <w:rFonts w:ascii="Times New Roman" w:hAnsi="Times New Roman"/>
          <w:b/>
          <w:sz w:val="24"/>
        </w:rPr>
        <w:t xml:space="preserve">(b) No orbital physics: </w:t>
      </w:r>
      <w:r>
        <w:rPr>
          <w:rFonts w:ascii="Times New Roman" w:hAnsi="Times New Roman"/>
          <w:sz w:val="24"/>
        </w:rPr>
        <w:t>Raw-TLE ML methods treat Keplerian elements as plain numerical features, ignoring the governing physics equations, leading to high false alarm rates from normal secular orbital drift.</w:t>
      </w:r>
    </w:p>
    <w:p>
      <w:pPr>
        <w:spacing w:line="480" w:lineRule="auto" w:before="80" w:after="0"/>
        <w:ind w:left="567"/>
      </w:pPr>
      <w:r>
        <w:rPr>
          <w:rFonts w:ascii="Times New Roman" w:hAnsi="Times New Roman"/>
          <w:b/>
          <w:sz w:val="24"/>
        </w:rPr>
        <w:t xml:space="preserve">(c) No peer satellite context: </w:t>
      </w:r>
      <w:r>
        <w:rPr>
          <w:rFonts w:ascii="Times New Roman" w:hAnsi="Times New Roman"/>
          <w:sz w:val="24"/>
        </w:rPr>
        <w:t>No prior method exploits the diagnostic signal that peers in the same orbital regime experience identical environmental perturbations. An anomaly in one satellite but not its peers is a strong manoeuvre indicator.</w:t>
      </w:r>
    </w:p>
    <w:p>
      <w:pPr>
        <w:spacing w:line="480" w:lineRule="auto" w:before="80" w:after="0"/>
        <w:ind w:left="567"/>
      </w:pPr>
      <w:r>
        <w:rPr>
          <w:rFonts w:ascii="Times New Roman" w:hAnsi="Times New Roman"/>
          <w:b/>
          <w:sz w:val="24"/>
        </w:rPr>
        <w:t xml:space="preserve">(d) Fixed propagation Δt: </w:t>
      </w:r>
      <w:r>
        <w:rPr>
          <w:rFonts w:ascii="Times New Roman" w:hAnsi="Times New Roman"/>
          <w:sz w:val="24"/>
        </w:rPr>
        <w:t>All prior art assumes a fixed 24-hour propagation step, introducing systematic errors proportional to the deviation between actual and assumed inter-TLE elapsed time — especially critical for mean anomaly propagation.</w:t>
      </w:r>
    </w:p>
    <w:p>
      <w:pPr>
        <w:spacing w:line="480" w:lineRule="auto" w:before="80" w:after="0"/>
        <w:ind w:left="567"/>
      </w:pPr>
      <w:r>
        <w:rPr>
          <w:rFonts w:ascii="Times New Roman" w:hAnsi="Times New Roman"/>
          <w:b/>
          <w:sz w:val="24"/>
        </w:rPr>
        <w:t xml:space="preserve">(e) No ΔV estimation: </w:t>
      </w:r>
      <w:r>
        <w:rPr>
          <w:rFonts w:ascii="Times New Roman" w:hAnsi="Times New Roman"/>
          <w:sz w:val="24"/>
        </w:rPr>
        <w:t>No prior TLE-based method derives the manoeuvre magnitude in m/s. This has previously required proprietary propulsion telemetry or high-fidelity orbit determination software.</w:t>
      </w:r>
    </w:p>
    <w:p>
      <w:pPr>
        <w:spacing w:before="360" w:after="120"/>
      </w:pPr>
      <w:r>
        <w:rPr>
          <w:rFonts w:ascii="Times New Roman" w:hAnsi="Times New Roman"/>
          <w:b/>
          <w:sz w:val="24"/>
        </w:rPr>
        <w:t>3. OBJECTS OF THE INVENTION</w:t>
      </w:r>
    </w:p>
    <w:p>
      <w:pPr>
        <w:spacing w:line="480" w:lineRule="auto" w:before="0" w:after="0"/>
        <w:ind w:left="0"/>
        <w:jc w:val="both"/>
      </w:pPr>
      <w:r>
        <w:rPr>
          <w:rFonts w:ascii="Times New Roman" w:hAnsi="Times New Roman"/>
          <w:b w:val="0"/>
          <w:i w:val="0"/>
          <w:sz w:val="24"/>
        </w:rPr>
        <w:t>The principal objects of the present invention are:</w:t>
      </w:r>
    </w:p>
    <w:p>
      <w:pPr>
        <w:spacing w:line="480" w:lineRule="auto" w:before="80"/>
        <w:ind w:left="567"/>
      </w:pPr>
      <w:r>
        <w:rPr>
          <w:rFonts w:ascii="Times New Roman" w:hAnsi="Times New Roman"/>
          <w:sz w:val="24"/>
        </w:rPr>
        <w:t>1.  To provide a system and method for detecting satellite orbital manoeuvres using only publicly available TLE data, without any proprietary telemetry or ground-station data.</w:t>
      </w:r>
    </w:p>
    <w:p>
      <w:pPr>
        <w:spacing w:line="480" w:lineRule="auto" w:before="80"/>
        <w:ind w:left="567"/>
      </w:pPr>
      <w:r>
        <w:rPr>
          <w:rFonts w:ascii="Times New Roman" w:hAnsi="Times New Roman"/>
          <w:sz w:val="24"/>
        </w:rPr>
        <w:t>2.  To provide a physics residual computation method using the actual inter-TLE elapsed time Δt for J₂-corrected Keplerian propagation, eliminating systematic errors from fixed-Δt assumptions.</w:t>
      </w:r>
    </w:p>
    <w:p>
      <w:pPr>
        <w:spacing w:line="480" w:lineRule="auto" w:before="80"/>
        <w:ind w:left="567"/>
      </w:pPr>
      <w:r>
        <w:rPr>
          <w:rFonts w:ascii="Times New Roman" w:hAnsi="Times New Roman"/>
          <w:sz w:val="24"/>
        </w:rPr>
        <w:t>3.  To provide a Transformer-based ResidualEncoder that encodes temporal sequences of orbital physics residuals, distinguishing normal orbital evolution from manoeuvre signatures.</w:t>
      </w:r>
    </w:p>
    <w:p>
      <w:pPr>
        <w:spacing w:line="480" w:lineRule="auto" w:before="80"/>
        <w:ind w:left="567"/>
      </w:pPr>
      <w:r>
        <w:rPr>
          <w:rFonts w:ascii="Times New Roman" w:hAnsi="Times New Roman"/>
          <w:sz w:val="24"/>
        </w:rPr>
        <w:t>4.  To provide an orbital-shell-aware graph construction method connecting satellites within the same orbital regime (GEO/SSO/LEO) with no cross-shell edges, enabling physically meaningful peer-context aggregation.</w:t>
      </w:r>
    </w:p>
    <w:p>
      <w:pPr>
        <w:spacing w:line="480" w:lineRule="auto" w:before="80"/>
        <w:ind w:left="567"/>
      </w:pPr>
      <w:r>
        <w:rPr>
          <w:rFonts w:ascii="Times New Roman" w:hAnsi="Times New Roman"/>
          <w:sz w:val="24"/>
        </w:rPr>
        <w:t>5.  To provide a composite anomaly scoring method combining self-forecast error, peer-graph-forecast error, and MC-Dropout uncertainty, z-normalised across the satellite batch at each time step.</w:t>
      </w:r>
    </w:p>
    <w:p>
      <w:pPr>
        <w:spacing w:line="480" w:lineRule="auto" w:before="80"/>
        <w:ind w:left="567"/>
      </w:pPr>
      <w:r>
        <w:rPr>
          <w:rFonts w:ascii="Times New Roman" w:hAnsi="Times New Roman"/>
          <w:sz w:val="24"/>
        </w:rPr>
        <w:t>6.  To provide a ΔV estimation method from TLE-derived semi-major axis residuals via the linearised Gauss tangential burn equation, without propulsion telemetry.</w:t>
      </w:r>
    </w:p>
    <w:p>
      <w:pPr>
        <w:spacing w:line="480" w:lineRule="auto" w:before="80"/>
        <w:ind w:left="567"/>
      </w:pPr>
      <w:r>
        <w:rPr>
          <w:rFonts w:ascii="Times New Roman" w:hAnsi="Times New Roman"/>
          <w:sz w:val="24"/>
        </w:rPr>
        <w:t>7.  To provide a self-supervised training procedure requiring no labelled manoeuvre annotations, applicable to any satellite with public TLE data.</w:t>
      </w:r>
    </w:p>
    <w:p>
      <w:pPr>
        <w:spacing w:before="360" w:after="120"/>
      </w:pPr>
      <w:r>
        <w:rPr>
          <w:rFonts w:ascii="Times New Roman" w:hAnsi="Times New Roman"/>
          <w:b/>
          <w:sz w:val="24"/>
        </w:rPr>
        <w:t>4. STATEMENT OF THE INVENTION</w:t>
      </w:r>
    </w:p>
    <w:p>
      <w:pPr>
        <w:spacing w:line="480" w:lineRule="auto" w:before="0" w:after="0"/>
        <w:ind w:left="0"/>
        <w:jc w:val="both"/>
      </w:pPr>
      <w:r>
        <w:rPr>
          <w:rFonts w:ascii="Times New Roman" w:hAnsi="Times New Roman"/>
          <w:b w:val="0"/>
          <w:i w:val="0"/>
          <w:sz w:val="24"/>
        </w:rPr>
        <w:t>According to the present invention, there is provided a computer-implemented system and method for satellite manoeuvre detection and delta-velocity estimation, comprising the following operatively connected modules:</w:t>
      </w:r>
    </w:p>
    <w:p>
      <w:pPr>
        <w:spacing w:line="480" w:lineRule="auto" w:before="160"/>
        <w:ind w:left="567"/>
      </w:pPr>
      <w:r>
        <w:rPr>
          <w:rFonts w:ascii="Times New Roman" w:hAnsi="Times New Roman"/>
          <w:b/>
          <w:sz w:val="24"/>
        </w:rPr>
        <w:t xml:space="preserve">Module 1 — TLE Loading &amp; Grid Snapping: </w:t>
      </w:r>
      <w:r>
        <w:rPr>
          <w:rFonts w:ascii="Times New Roman" w:hAnsi="Times New Roman"/>
          <w:sz w:val="24"/>
        </w:rPr>
        <w:t>Receives TLE records for S satellites; extracts six Keplerian elements; maps to a regular daily grid; records actual elapsed time Δt between consecutive TLE epochs; and generates a binary validity mask.</w:t>
      </w:r>
    </w:p>
    <w:p>
      <w:pPr>
        <w:spacing w:line="480" w:lineRule="auto" w:before="160"/>
        <w:ind w:left="567"/>
      </w:pPr>
      <w:r>
        <w:rPr>
          <w:rFonts w:ascii="Times New Roman" w:hAnsi="Times New Roman"/>
          <w:b/>
          <w:sz w:val="24"/>
        </w:rPr>
        <w:t xml:space="preserve">Module 2 — Physics Residual Computation: </w:t>
      </w:r>
      <w:r>
        <w:rPr>
          <w:rFonts w:ascii="Times New Roman" w:hAnsi="Times New Roman"/>
          <w:sz w:val="24"/>
        </w:rPr>
        <w:t>Propagates orbital elements using J₂-corrected Keplerian model with actual Δt; computes signed residuals δ = a_obs(t+1) − â(t+1); applies angular wrapping to (−π, π]; applies per-satellite z-normalisation on training data.</w:t>
      </w:r>
    </w:p>
    <w:p>
      <w:pPr>
        <w:spacing w:line="480" w:lineRule="auto" w:before="160"/>
        <w:ind w:left="567"/>
      </w:pPr>
      <w:r>
        <w:rPr>
          <w:rFonts w:ascii="Times New Roman" w:hAnsi="Times New Roman"/>
          <w:b/>
          <w:sz w:val="24"/>
        </w:rPr>
        <w:t xml:space="preserve">Module 3 — ResidualEncoder (Transformer): </w:t>
      </w:r>
      <w:r>
        <w:rPr>
          <w:rFonts w:ascii="Times New Roman" w:hAnsi="Times New Roman"/>
          <w:sz w:val="24"/>
        </w:rPr>
        <w:t>A Transformer encoder (d=64, 4 heads, 2 layers, GELU, dropout=0.2) that maps a window of W=8 residuals per satellite to a latent embedding and self-forecast ŷ^self ∈ ℝ⁶.</w:t>
      </w:r>
    </w:p>
    <w:p>
      <w:pPr>
        <w:spacing w:line="480" w:lineRule="auto" w:before="160"/>
        <w:ind w:left="567"/>
      </w:pPr>
      <w:r>
        <w:rPr>
          <w:rFonts w:ascii="Times New Roman" w:hAnsi="Times New Roman"/>
          <w:b/>
          <w:sz w:val="24"/>
        </w:rPr>
        <w:t xml:space="preserve">Module 4 — Orbital-Shell-Aware Graph: </w:t>
      </w:r>
      <w:r>
        <w:rPr>
          <w:rFonts w:ascii="Times New Roman" w:hAnsi="Times New Roman"/>
          <w:sz w:val="24"/>
        </w:rPr>
        <w:t>Assigns each satellite to GEO/SSO/LEO shell; builds k-NN (k=3) adjacency within each shell using mean-motion similarity; creates NO cross-shell edges.</w:t>
      </w:r>
    </w:p>
    <w:p>
      <w:pPr>
        <w:spacing w:line="480" w:lineRule="auto" w:before="160"/>
        <w:ind w:left="567"/>
      </w:pPr>
      <w:r>
        <w:rPr>
          <w:rFonts w:ascii="Times New Roman" w:hAnsi="Times New Roman"/>
          <w:b/>
          <w:sz w:val="24"/>
        </w:rPr>
        <w:t xml:space="preserve">Module 5 — NeighborGCN: </w:t>
      </w:r>
      <w:r>
        <w:rPr>
          <w:rFonts w:ascii="Times New Roman" w:hAnsi="Times New Roman"/>
          <w:sz w:val="24"/>
        </w:rPr>
        <w:t>Degree-normalised graph convolution H' = GELU(D⁻¹AHW) + H aggregates peer embeddings; outputs peer-context forecast ŷ^peer ∈ ℝ⁶.</w:t>
      </w:r>
    </w:p>
    <w:p>
      <w:pPr>
        <w:spacing w:line="480" w:lineRule="auto" w:before="160"/>
        <w:ind w:left="567"/>
      </w:pPr>
      <w:r>
        <w:rPr>
          <w:rFonts w:ascii="Times New Roman" w:hAnsi="Times New Roman"/>
          <w:b/>
          <w:sz w:val="24"/>
        </w:rPr>
        <w:t xml:space="preserve">Module 6 — Composite Anomaly Scoring: </w:t>
      </w:r>
      <w:r>
        <w:rPr>
          <w:rFonts w:ascii="Times New Roman" w:hAnsi="Times New Roman"/>
          <w:sz w:val="24"/>
        </w:rPr>
        <w:t>Executes 15 MC-Dropout passes for uncertainty σ̄; computes score = w₁·z(‖y−ŷ^self‖²) + w₂·z(‖y−ŷ^peer‖²) + w₃·z(‖σ̄‖²) with z-normalisation across satellite batch.</w:t>
      </w:r>
    </w:p>
    <w:p>
      <w:pPr>
        <w:spacing w:line="480" w:lineRule="auto" w:before="160"/>
        <w:ind w:left="567"/>
      </w:pPr>
      <w:r>
        <w:rPr>
          <w:rFonts w:ascii="Times New Roman" w:hAnsi="Times New Roman"/>
          <w:b/>
          <w:sz w:val="24"/>
        </w:rPr>
        <w:t xml:space="preserve">Module 7 — ΔV Estimation: </w:t>
      </w:r>
      <w:r>
        <w:rPr>
          <w:rFonts w:ascii="Times New Roman" w:hAnsi="Times New Roman"/>
          <w:sz w:val="24"/>
        </w:rPr>
        <w:t>Extracts Δa at alarm step; computes n = √(μ/a³); estimates ΔV ≈ (n·|Δa|)/2 [m/s] via linearised Gauss equation without propulsion telemetry.</w:t>
      </w:r>
    </w:p>
    <w:p>
      <w:r>
        <w:br w:type="page"/>
      </w:r>
    </w:p>
    <w:p>
      <w:pPr>
        <w:spacing w:before="360" w:after="120"/>
      </w:pPr>
      <w:r>
        <w:rPr>
          <w:rFonts w:ascii="Times New Roman" w:hAnsi="Times New Roman"/>
          <w:b/>
          <w:sz w:val="24"/>
        </w:rPr>
        <w:t>5. DETAILED DESCRIPTION OF THE PREFERRED EMBODIMENT</w:t>
      </w:r>
    </w:p>
    <w:p>
      <w:pPr>
        <w:spacing w:before="240" w:after="80"/>
      </w:pPr>
      <w:r>
        <w:rPr>
          <w:rFonts w:ascii="Times New Roman" w:hAnsi="Times New Roman"/>
          <w:b/>
          <w:i/>
          <w:sz w:val="24"/>
        </w:rPr>
        <w:t>5.1  TLE Loading and Grid Snapping</w:t>
      </w:r>
    </w:p>
    <w:p>
      <w:pPr>
        <w:spacing w:line="480" w:lineRule="auto" w:before="0" w:after="0"/>
        <w:ind w:left="0"/>
        <w:jc w:val="both"/>
      </w:pPr>
      <w:r>
        <w:rPr>
          <w:rFonts w:ascii="Times New Roman" w:hAnsi="Times New Roman"/>
          <w:b w:val="0"/>
          <w:i w:val="0"/>
          <w:sz w:val="24"/>
        </w:rPr>
        <w:t>TLE archive files (Space-Track.org format) are parsed for each satellite. Six mean Keplerian elements are extracted at each epoch. Each TLE is mapped to the nearest daily grid point within ±48 hours. The actual elapsed time Δt_{k,t} in seconds between consecutive TLE epochs is computed and stored. Grid steps without a TLE within ±48 h are marked invalid (v_{k,t} = 0).</w:t>
      </w:r>
    </w:p>
    <w:p>
      <w:pPr>
        <w:spacing w:line="480" w:lineRule="auto" w:before="0" w:after="0"/>
        <w:ind w:left="0"/>
        <w:jc w:val="both"/>
      </w:pPr>
      <w:r>
        <w:rPr>
          <w:rFonts w:ascii="Times New Roman" w:hAnsi="Times New Roman"/>
          <w:b w:val="0"/>
          <w:i w:val="0"/>
          <w:sz w:val="24"/>
        </w:rPr>
        <w:t>Key Innovation: The actual inter-TLE Δt is used for propagation, not a fixed 24-hour step. For a LEO satellite with a 90-minute period, a 6-hour error in Δt produces ~4 full orbital periods of error in the mean anomaly — completely overwhelming the manoeuvre signal. Correct Δt computation is essential for reliable residual computation.</w:t>
      </w:r>
    </w:p>
    <w:p>
      <w:pPr>
        <w:spacing w:before="240" w:after="80"/>
      </w:pPr>
      <w:r>
        <w:rPr>
          <w:rFonts w:ascii="Times New Roman" w:hAnsi="Times New Roman"/>
          <w:b/>
          <w:i/>
          <w:sz w:val="24"/>
        </w:rPr>
        <w:t>5.2  J₂-Corrected Keplerian Physics Residuals</w:t>
      </w:r>
    </w:p>
    <w:p>
      <w:pPr>
        <w:spacing w:line="480" w:lineRule="auto" w:before="0" w:after="0"/>
        <w:ind w:left="0"/>
        <w:jc w:val="both"/>
      </w:pPr>
      <w:r>
        <w:rPr>
          <w:rFonts w:ascii="Times New Roman" w:hAnsi="Times New Roman"/>
          <w:b w:val="0"/>
          <w:i w:val="0"/>
          <w:sz w:val="24"/>
        </w:rPr>
        <w:t>The J₂ secular perturbation rates are:</w:t>
      </w:r>
    </w:p>
    <w:p>
      <w:pPr>
        <w:spacing w:line="480" w:lineRule="auto"/>
        <w:ind w:left="1134"/>
      </w:pPr>
      <w:r>
        <w:rPr>
          <w:rFonts w:ascii="Courier New" w:hAnsi="Courier New"/>
          <w:b/>
          <w:sz w:val="22"/>
        </w:rPr>
        <w:t>n = √(μ/a³)                              [mean motion, rad/s]</w:t>
      </w:r>
    </w:p>
    <w:p>
      <w:pPr>
        <w:spacing w:line="480" w:lineRule="auto"/>
        <w:ind w:left="1134"/>
      </w:pPr>
      <w:r>
        <w:rPr>
          <w:rFonts w:ascii="Courier New" w:hAnsi="Courier New"/>
          <w:b/>
          <w:sz w:val="22"/>
        </w:rPr>
        <w:t>p = a(1 − e²)                            [semi-latus rectum, km]</w:t>
      </w:r>
    </w:p>
    <w:p>
      <w:pPr>
        <w:spacing w:line="480" w:lineRule="auto"/>
        <w:ind w:left="1134"/>
      </w:pPr>
      <w:r>
        <w:rPr>
          <w:rFonts w:ascii="Courier New" w:hAnsi="Courier New"/>
          <w:b/>
          <w:sz w:val="22"/>
        </w:rPr>
        <w:t>dΩ/dt = −(3/2)·n·J₂·(Rₑ/p)²·cos(i)    [RAAN drift, rad/s]</w:t>
      </w:r>
    </w:p>
    <w:p>
      <w:pPr>
        <w:spacing w:line="480" w:lineRule="auto"/>
        <w:ind w:left="1134"/>
      </w:pPr>
      <w:r>
        <w:rPr>
          <w:rFonts w:ascii="Courier New" w:hAnsi="Courier New"/>
          <w:b/>
          <w:sz w:val="22"/>
        </w:rPr>
        <w:t>dω/dt =  (3/4)·n·J₂·(Rₑ/p)²·(5cos²i−1) [AoP drift, rad/s]</w:t>
      </w:r>
    </w:p>
    <w:p>
      <w:pPr>
        <w:spacing w:line="480" w:lineRule="auto"/>
        <w:ind w:left="1134"/>
      </w:pPr>
      <w:r>
        <w:rPr>
          <w:rFonts w:ascii="Courier New" w:hAnsi="Courier New"/>
          <w:b/>
          <w:sz w:val="22"/>
        </w:rPr>
        <w:t>dM/dt =  n                                [mean motion propagation]</w:t>
      </w:r>
    </w:p>
    <w:p>
      <w:pPr>
        <w:spacing w:line="480" w:lineRule="auto" w:before="0" w:after="0"/>
        <w:ind w:left="0"/>
        <w:jc w:val="both"/>
      </w:pPr>
      <w:r>
        <w:rPr>
          <w:rFonts w:ascii="Times New Roman" w:hAnsi="Times New Roman"/>
          <w:b w:val="0"/>
          <w:i w:val="0"/>
          <w:sz w:val="24"/>
        </w:rPr>
        <w:t>Constants: J₂ = 1.08262668×10⁻³, Rₑ = 6378.137 km, μ = 398600.4418 km³/s².</w:t>
      </w:r>
    </w:p>
    <w:p>
      <w:pPr>
        <w:spacing w:line="480" w:lineRule="auto" w:before="0" w:after="0"/>
        <w:ind w:left="0"/>
        <w:jc w:val="both"/>
      </w:pPr>
      <w:r>
        <w:rPr>
          <w:rFonts w:ascii="Times New Roman" w:hAnsi="Times New Roman"/>
          <w:b w:val="0"/>
          <w:i w:val="0"/>
          <w:sz w:val="24"/>
        </w:rPr>
        <w:t>The signed residual:</w:t>
      </w:r>
    </w:p>
    <w:p>
      <w:pPr>
        <w:spacing w:line="480" w:lineRule="auto"/>
        <w:ind w:left="1134"/>
      </w:pPr>
      <w:r>
        <w:rPr>
          <w:rFonts w:ascii="Courier New" w:hAnsi="Courier New"/>
          <w:b/>
          <w:sz w:val="22"/>
        </w:rPr>
        <w:t>δ_{k,t}  =  a_obs_{k,t+1}  −  â_{k,t+1}</w:t>
      </w:r>
    </w:p>
    <w:p>
      <w:pPr>
        <w:spacing w:line="480" w:lineRule="auto" w:before="0" w:after="0"/>
        <w:ind w:left="0"/>
        <w:jc w:val="both"/>
      </w:pPr>
      <w:r>
        <w:rPr>
          <w:rFonts w:ascii="Times New Roman" w:hAnsi="Times New Roman"/>
          <w:b w:val="0"/>
          <w:i w:val="0"/>
          <w:sz w:val="24"/>
        </w:rPr>
        <w:t>Angular wrapping: wrap(θ) = ((θ + π) mod 2π) − π ensures residuals ∈ (−π, π].</w:t>
      </w:r>
    </w:p>
    <w:p>
      <w:pPr>
        <w:spacing w:before="240" w:after="80"/>
      </w:pPr>
      <w:r>
        <w:rPr>
          <w:rFonts w:ascii="Times New Roman" w:hAnsi="Times New Roman"/>
          <w:b/>
          <w:i/>
          <w:sz w:val="24"/>
        </w:rPr>
        <w:t>5.3  ResidualEncoder (Transformer)</w:t>
      </w:r>
    </w:p>
    <w:p>
      <w:pPr>
        <w:spacing w:line="480" w:lineRule="auto" w:before="0" w:after="0"/>
        <w:ind w:left="0"/>
        <w:jc w:val="both"/>
      </w:pPr>
      <w:r>
        <w:rPr>
          <w:rFonts w:ascii="Times New Roman" w:hAnsi="Times New Roman"/>
          <w:b w:val="0"/>
          <w:i w:val="0"/>
          <w:sz w:val="24"/>
        </w:rPr>
        <w:t>Input: window X_k ∈ ℝ^{W×6}, W=8. Architecture: Linear(6→64) projection → Learned positional embedding → 2× Transformer encoder layers (d=64, 4 heads, FF=128, GELU, dropout=0.2) → Linear forecast head (64→6). Output: summary h_k ∈ ℝ^64, self-forecast ŷ^self_k ∈ ℝ^6. Total trainable parameters: 105,100.</w:t>
      </w:r>
    </w:p>
    <w:p>
      <w:pPr>
        <w:spacing w:before="240" w:after="80"/>
      </w:pPr>
      <w:r>
        <w:rPr>
          <w:rFonts w:ascii="Times New Roman" w:hAnsi="Times New Roman"/>
          <w:b/>
          <w:i/>
          <w:sz w:val="24"/>
        </w:rPr>
        <w:t>5.4  Orbital-Shell-Aware Graph (Key Innovation)</w:t>
      </w:r>
    </w:p>
    <w:tbl>
      <w:tblPr>
        <w:tblStyle w:val="TableGrid"/>
        <w:tblW w:type="auto" w:w="0"/>
        <w:tblLook w:firstColumn="1" w:firstRow="1" w:lastColumn="0" w:lastRow="0" w:noHBand="0" w:noVBand="1" w:val="04A0"/>
      </w:tblPr>
      <w:tblGrid>
        <w:gridCol w:w="2055"/>
        <w:gridCol w:w="2055"/>
        <w:gridCol w:w="2055"/>
        <w:gridCol w:w="2055"/>
      </w:tblGrid>
      <w:tr>
        <w:tc>
          <w:tcPr>
            <w:tcW w:type="dxa" w:w="1134"/>
            <w:shd w:val="clear" w:color="auto" w:fill="BFBFBF"/>
          </w:tcPr>
          <w:p>
            <w:pPr>
              <w:jc w:val="center"/>
            </w:pPr>
            <w:r>
              <w:rPr>
                <w:rFonts w:ascii="Times New Roman" w:hAnsi="Times New Roman"/>
                <w:b/>
                <w:sz w:val="22"/>
              </w:rPr>
              <w:t>Shell</w:t>
            </w:r>
          </w:p>
        </w:tc>
        <w:tc>
          <w:tcPr>
            <w:tcW w:type="dxa" w:w="1701"/>
            <w:shd w:val="clear" w:color="auto" w:fill="BFBFBF"/>
          </w:tcPr>
          <w:p>
            <w:pPr>
              <w:jc w:val="center"/>
            </w:pPr>
            <w:r>
              <w:rPr>
                <w:rFonts w:ascii="Times New Roman" w:hAnsi="Times New Roman"/>
                <w:b/>
                <w:sz w:val="22"/>
              </w:rPr>
              <w:t>Name</w:t>
            </w:r>
          </w:p>
        </w:tc>
        <w:tc>
          <w:tcPr>
            <w:tcW w:type="dxa" w:w="1701"/>
            <w:shd w:val="clear" w:color="auto" w:fill="BFBFBF"/>
          </w:tcPr>
          <w:p>
            <w:pPr>
              <w:jc w:val="center"/>
            </w:pPr>
            <w:r>
              <w:rPr>
                <w:rFonts w:ascii="Times New Roman" w:hAnsi="Times New Roman"/>
                <w:b/>
                <w:sz w:val="22"/>
              </w:rPr>
              <w:t>Altitude</w:t>
            </w:r>
          </w:p>
        </w:tc>
        <w:tc>
          <w:tcPr>
            <w:tcW w:type="dxa" w:w="2268"/>
            <w:shd w:val="clear" w:color="auto" w:fill="BFBFBF"/>
          </w:tcPr>
          <w:p>
            <w:pPr>
              <w:jc w:val="center"/>
            </w:pPr>
            <w:r>
              <w:rPr>
                <w:rFonts w:ascii="Times New Roman" w:hAnsi="Times New Roman"/>
                <w:b/>
                <w:sz w:val="22"/>
              </w:rPr>
              <w:t>Inclination</w:t>
            </w:r>
          </w:p>
        </w:tc>
      </w:tr>
      <w:tr>
        <w:tc>
          <w:tcPr>
            <w:tcW w:type="dxa" w:w="1134"/>
          </w:tcPr>
          <w:p>
            <w:pPr>
              <w:jc w:val="center"/>
            </w:pPr>
            <w:r>
              <w:rPr>
                <w:rFonts w:ascii="Times New Roman" w:hAnsi="Times New Roman"/>
                <w:sz w:val="22"/>
              </w:rPr>
              <w:t>0</w:t>
            </w:r>
          </w:p>
        </w:tc>
        <w:tc>
          <w:tcPr>
            <w:tcW w:type="dxa" w:w="1701"/>
          </w:tcPr>
          <w:p>
            <w:pPr>
              <w:jc w:val="center"/>
            </w:pPr>
            <w:r>
              <w:rPr>
                <w:rFonts w:ascii="Times New Roman" w:hAnsi="Times New Roman"/>
                <w:sz w:val="22"/>
              </w:rPr>
              <w:t>GEO</w:t>
            </w:r>
          </w:p>
        </w:tc>
        <w:tc>
          <w:tcPr>
            <w:tcW w:type="dxa" w:w="1701"/>
          </w:tcPr>
          <w:p>
            <w:pPr>
              <w:jc w:val="center"/>
            </w:pPr>
            <w:r>
              <w:rPr>
                <w:rFonts w:ascii="Times New Roman" w:hAnsi="Times New Roman"/>
                <w:sz w:val="22"/>
              </w:rPr>
              <w:t>&gt;30,000 km</w:t>
            </w:r>
          </w:p>
        </w:tc>
        <w:tc>
          <w:tcPr>
            <w:tcW w:type="dxa" w:w="2268"/>
          </w:tcPr>
          <w:p>
            <w:pPr>
              <w:jc w:val="center"/>
            </w:pPr>
            <w:r>
              <w:rPr>
                <w:rFonts w:ascii="Times New Roman" w:hAnsi="Times New Roman"/>
                <w:sz w:val="22"/>
              </w:rPr>
              <w:t>Any</w:t>
            </w:r>
          </w:p>
        </w:tc>
      </w:tr>
      <w:tr>
        <w:tc>
          <w:tcPr>
            <w:tcW w:type="dxa" w:w="1134"/>
          </w:tcPr>
          <w:p>
            <w:pPr>
              <w:jc w:val="center"/>
            </w:pPr>
            <w:r>
              <w:rPr>
                <w:rFonts w:ascii="Times New Roman" w:hAnsi="Times New Roman"/>
                <w:sz w:val="22"/>
              </w:rPr>
              <w:t>1</w:t>
            </w:r>
          </w:p>
        </w:tc>
        <w:tc>
          <w:tcPr>
            <w:tcW w:type="dxa" w:w="1701"/>
          </w:tcPr>
          <w:p>
            <w:pPr>
              <w:jc w:val="center"/>
            </w:pPr>
            <w:r>
              <w:rPr>
                <w:rFonts w:ascii="Times New Roman" w:hAnsi="Times New Roman"/>
                <w:sz w:val="22"/>
              </w:rPr>
              <w:t>SSO / Polar</w:t>
            </w:r>
          </w:p>
        </w:tc>
        <w:tc>
          <w:tcPr>
            <w:tcW w:type="dxa" w:w="1701"/>
          </w:tcPr>
          <w:p>
            <w:pPr>
              <w:jc w:val="center"/>
            </w:pPr>
            <w:r>
              <w:rPr>
                <w:rFonts w:ascii="Times New Roman" w:hAnsi="Times New Roman"/>
                <w:sz w:val="22"/>
              </w:rPr>
              <w:t>600–1,000 km</w:t>
            </w:r>
          </w:p>
        </w:tc>
        <w:tc>
          <w:tcPr>
            <w:tcW w:type="dxa" w:w="2268"/>
          </w:tcPr>
          <w:p>
            <w:pPr>
              <w:jc w:val="center"/>
            </w:pPr>
            <w:r>
              <w:rPr>
                <w:rFonts w:ascii="Times New Roman" w:hAnsi="Times New Roman"/>
                <w:sz w:val="22"/>
              </w:rPr>
              <w:t>&gt;88°</w:t>
            </w:r>
          </w:p>
        </w:tc>
      </w:tr>
      <w:tr>
        <w:tc>
          <w:tcPr>
            <w:tcW w:type="dxa" w:w="1134"/>
          </w:tcPr>
          <w:p>
            <w:pPr>
              <w:jc w:val="center"/>
            </w:pPr>
            <w:r>
              <w:rPr>
                <w:rFonts w:ascii="Times New Roman" w:hAnsi="Times New Roman"/>
                <w:sz w:val="22"/>
              </w:rPr>
              <w:t>2</w:t>
            </w:r>
          </w:p>
        </w:tc>
        <w:tc>
          <w:tcPr>
            <w:tcW w:type="dxa" w:w="1701"/>
          </w:tcPr>
          <w:p>
            <w:pPr>
              <w:jc w:val="center"/>
            </w:pPr>
            <w:r>
              <w:rPr>
                <w:rFonts w:ascii="Times New Roman" w:hAnsi="Times New Roman"/>
                <w:sz w:val="22"/>
              </w:rPr>
              <w:t>LEO-66°</w:t>
            </w:r>
          </w:p>
        </w:tc>
        <w:tc>
          <w:tcPr>
            <w:tcW w:type="dxa" w:w="1701"/>
          </w:tcPr>
          <w:p>
            <w:pPr>
              <w:jc w:val="center"/>
            </w:pPr>
            <w:r>
              <w:rPr>
                <w:rFonts w:ascii="Times New Roman" w:hAnsi="Times New Roman"/>
                <w:sz w:val="22"/>
              </w:rPr>
              <w:t>1,000–1,700 km</w:t>
            </w:r>
          </w:p>
        </w:tc>
        <w:tc>
          <w:tcPr>
            <w:tcW w:type="dxa" w:w="2268"/>
          </w:tcPr>
          <w:p>
            <w:pPr>
              <w:jc w:val="center"/>
            </w:pPr>
            <w:r>
              <w:rPr>
                <w:rFonts w:ascii="Times New Roman" w:hAnsi="Times New Roman"/>
                <w:sz w:val="22"/>
              </w:rPr>
              <w:t>60°–70°</w:t>
            </w:r>
          </w:p>
        </w:tc>
      </w:tr>
    </w:tbl>
    <w:p/>
    <w:p>
      <w:pPr>
        <w:spacing w:line="480" w:lineRule="auto" w:before="0" w:after="0"/>
        <w:ind w:left="0"/>
        <w:jc w:val="both"/>
      </w:pPr>
      <w:r>
        <w:rPr>
          <w:rFonts w:ascii="Times New Roman" w:hAnsi="Times New Roman"/>
          <w:b w:val="0"/>
          <w:i w:val="0"/>
          <w:sz w:val="24"/>
        </w:rPr>
        <w:t>k-NN (k=3) edges connect satellites within the same shell only. No cross-shell edges. This ensures GEO manoeuvre signatures are not propagated to SSO/LEO peers, which experience entirely different perturbation environments (different atmospheric drag, different solar radiation pressure, different lunisolar gravity gradients).</w:t>
      </w:r>
    </w:p>
    <w:p>
      <w:pPr>
        <w:spacing w:before="240" w:after="80"/>
      </w:pPr>
      <w:r>
        <w:rPr>
          <w:rFonts w:ascii="Times New Roman" w:hAnsi="Times New Roman"/>
          <w:b/>
          <w:i/>
          <w:sz w:val="24"/>
        </w:rPr>
        <w:t>5.5  NeighborGCN</w:t>
      </w:r>
    </w:p>
    <w:p>
      <w:pPr>
        <w:spacing w:line="480" w:lineRule="auto"/>
        <w:ind w:left="1134"/>
      </w:pPr>
      <w:r>
        <w:rPr>
          <w:rFonts w:ascii="Courier New" w:hAnsi="Courier New"/>
          <w:b/>
          <w:sz w:val="22"/>
        </w:rPr>
        <w:t>H'  =  GELU( D⁻¹ · A · H · W )  +  H</w:t>
      </w:r>
    </w:p>
    <w:p>
      <w:pPr>
        <w:spacing w:line="480" w:lineRule="auto" w:before="0" w:after="0"/>
        <w:ind w:left="0"/>
        <w:jc w:val="both"/>
      </w:pPr>
      <w:r>
        <w:rPr>
          <w:rFonts w:ascii="Times New Roman" w:hAnsi="Times New Roman"/>
          <w:b w:val="0"/>
          <w:i w:val="0"/>
          <w:sz w:val="24"/>
        </w:rPr>
        <w:t>D = diagonal degree matrix; W ∈ ℝ^{64×64} learned; residual connection preserves self-information. A peer forecast head (Linear 64→6) maps H' to ŷ^peer ∈ ℝ^6.</w:t>
      </w:r>
    </w:p>
    <w:p>
      <w:pPr>
        <w:spacing w:before="240" w:after="80"/>
      </w:pPr>
      <w:r>
        <w:rPr>
          <w:rFonts w:ascii="Times New Roman" w:hAnsi="Times New Roman"/>
          <w:b/>
          <w:i/>
          <w:sz w:val="24"/>
        </w:rPr>
        <w:t>5.6  Composite Anomaly Scoring (Key Innovation)</w:t>
      </w:r>
    </w:p>
    <w:p>
      <w:pPr>
        <w:spacing w:line="480" w:lineRule="auto"/>
        <w:ind w:left="1134"/>
      </w:pPr>
      <w:r>
        <w:rPr>
          <w:rFonts w:ascii="Courier New" w:hAnsi="Courier New"/>
          <w:b/>
          <w:sz w:val="22"/>
        </w:rPr>
        <w:t>score_k  =  w₁·z(‖y_k−ŷ^self‖²)  +  w₂·z(‖y_k−ŷ^peer‖²)  +  w₃·z(‖σ̄_k‖²)</w:t>
      </w:r>
    </w:p>
    <w:p>
      <w:pPr>
        <w:spacing w:line="480" w:lineRule="auto" w:before="0" w:after="0"/>
        <w:ind w:left="0"/>
        <w:jc w:val="both"/>
      </w:pPr>
      <w:r>
        <w:rPr>
          <w:rFonts w:ascii="Times New Roman" w:hAnsi="Times New Roman"/>
          <w:b w:val="0"/>
          <w:i w:val="0"/>
          <w:sz w:val="24"/>
        </w:rPr>
        <w:t>z(x_k) = (x_k − mean{x}) / (std{x} + ε) across satellite dimension at each step. σ̄_k = element-wise std of 15 MC-Dropout peer forecast samples (epistemic uncertainty). Default: w₁=w₂=w₃=1.0. Z-normalisation makes the score relative within the constellation, automatically accounting for time-varying global perturbations.</w:t>
      </w:r>
    </w:p>
    <w:p>
      <w:pPr>
        <w:spacing w:before="240" w:after="80"/>
      </w:pPr>
      <w:r>
        <w:rPr>
          <w:rFonts w:ascii="Times New Roman" w:hAnsi="Times New Roman"/>
          <w:b/>
          <w:i/>
          <w:sz w:val="24"/>
        </w:rPr>
        <w:t>5.7  ΔV Estimation (Key Innovation)</w:t>
      </w:r>
    </w:p>
    <w:p>
      <w:pPr>
        <w:spacing w:line="480" w:lineRule="auto"/>
        <w:ind w:left="1134"/>
      </w:pPr>
      <w:r>
        <w:rPr>
          <w:rFonts w:ascii="Courier New" w:hAnsi="Courier New"/>
          <w:b/>
          <w:sz w:val="22"/>
        </w:rPr>
        <w:t>ΔV  ≈  ( n · |Δa| ) / 2          [m/s]</w:t>
      </w:r>
    </w:p>
    <w:p>
      <w:pPr>
        <w:spacing w:line="480" w:lineRule="auto" w:before="0" w:after="0"/>
        <w:ind w:left="0"/>
        <w:jc w:val="both"/>
      </w:pPr>
      <w:r>
        <w:rPr>
          <w:rFonts w:ascii="Times New Roman" w:hAnsi="Times New Roman"/>
          <w:b w:val="0"/>
          <w:i w:val="0"/>
          <w:sz w:val="24"/>
        </w:rPr>
        <w:t>Derived from linearised Gauss variational equation for near-circular tangential burns. n = √(μ/a³) [rad/s], |Δa| [km] from TLE-derived residual. Accuracy: ±50% for tangential burns. No propulsion telemetry required. First known method to provide ΔV estimates from public TLE data alone.</w:t>
      </w:r>
    </w:p>
    <w:p>
      <w:pPr>
        <w:spacing w:before="240" w:after="80"/>
      </w:pPr>
      <w:r>
        <w:rPr>
          <w:rFonts w:ascii="Times New Roman" w:hAnsi="Times New Roman"/>
          <w:b/>
          <w:i/>
          <w:sz w:val="24"/>
        </w:rPr>
        <w:t>5.8  Training Procedure</w:t>
      </w:r>
    </w:p>
    <w:p>
      <w:pPr>
        <w:spacing w:line="480" w:lineRule="auto"/>
        <w:ind w:left="1134"/>
      </w:pPr>
      <w:r>
        <w:rPr>
          <w:rFonts w:ascii="Courier New" w:hAnsi="Courier New"/>
          <w:b/>
          <w:sz w:val="22"/>
        </w:rPr>
        <w:t>Loss  =  MSE(ŷ^self, y_next)  +  MSE(ŷ^peer, y_next)</w:t>
      </w:r>
    </w:p>
    <w:p>
      <w:pPr>
        <w:spacing w:line="480" w:lineRule="auto" w:before="0" w:after="0"/>
        <w:ind w:left="0"/>
        <w:jc w:val="both"/>
      </w:pPr>
      <w:r>
        <w:rPr>
          <w:rFonts w:ascii="Times New Roman" w:hAnsi="Times New Roman"/>
          <w:b w:val="0"/>
          <w:i w:val="0"/>
          <w:sz w:val="24"/>
        </w:rPr>
        <w:t>Self-supervised — no manoeuvre labels used during training. Chronological split: Train (60%): 2020-01-10→2021-03-17; Validation (20%): 2021-03-18→2021-08-09; Test (20%): 2021-08-10→2022-01-01. No temporal data leakage.</w:t>
      </w:r>
    </w:p>
    <w:p>
      <w:r>
        <w:br w:type="page"/>
      </w:r>
    </w:p>
    <w:p>
      <w:pPr>
        <w:spacing w:before="360" w:after="120"/>
      </w:pPr>
      <w:r>
        <w:rPr>
          <w:rFonts w:ascii="Times New Roman" w:hAnsi="Times New Roman"/>
          <w:b/>
          <w:sz w:val="24"/>
        </w:rPr>
        <w:t>6. BEST MODE OF CARRYING OUT THE INVENTION</w:t>
      </w:r>
    </w:p>
    <w:p>
      <w:pPr>
        <w:spacing w:before="240" w:after="80"/>
      </w:pPr>
      <w:r>
        <w:rPr>
          <w:rFonts w:ascii="Times New Roman" w:hAnsi="Times New Roman"/>
          <w:b/>
          <w:i/>
          <w:sz w:val="24"/>
        </w:rPr>
        <w:t>6.1  Dataset</w:t>
      </w:r>
    </w:p>
    <w:p>
      <w:pPr>
        <w:spacing w:line="480" w:lineRule="auto" w:before="0" w:after="0"/>
        <w:ind w:left="0"/>
        <w:jc w:val="both"/>
      </w:pPr>
      <w:r>
        <w:rPr>
          <w:rFonts w:ascii="Times New Roman" w:hAnsi="Times New Roman"/>
          <w:b w:val="0"/>
          <w:i w:val="0"/>
          <w:sz w:val="24"/>
        </w:rPr>
        <w:t>Validated on the TLE Observation Benchmark Dataset (Shorten &amp; Abdurahimov, 2023) — the first public real TLE benchmark with verified manoeuvre timestamps.</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701"/>
            <w:shd w:val="clear" w:color="auto" w:fill="BFBFBF"/>
          </w:tcPr>
          <w:p>
            <w:pPr>
              <w:jc w:val="center"/>
            </w:pPr>
            <w:r>
              <w:rPr>
                <w:rFonts w:ascii="Times New Roman" w:hAnsi="Times New Roman"/>
                <w:b/>
                <w:sz w:val="22"/>
              </w:rPr>
              <w:t>Satellite</w:t>
            </w:r>
          </w:p>
        </w:tc>
        <w:tc>
          <w:tcPr>
            <w:tcW w:type="dxa" w:w="1417"/>
            <w:shd w:val="clear" w:color="auto" w:fill="BFBFBF"/>
          </w:tcPr>
          <w:p>
            <w:pPr>
              <w:jc w:val="center"/>
            </w:pPr>
            <w:r>
              <w:rPr>
                <w:rFonts w:ascii="Times New Roman" w:hAnsi="Times New Roman"/>
                <w:b/>
                <w:sz w:val="22"/>
              </w:rPr>
              <w:t>Shell</w:t>
            </w:r>
          </w:p>
        </w:tc>
        <w:tc>
          <w:tcPr>
            <w:tcW w:type="dxa" w:w="1417"/>
            <w:shd w:val="clear" w:color="auto" w:fill="BFBFBF"/>
          </w:tcPr>
          <w:p>
            <w:pPr>
              <w:jc w:val="center"/>
            </w:pPr>
            <w:r>
              <w:rPr>
                <w:rFonts w:ascii="Times New Roman" w:hAnsi="Times New Roman"/>
                <w:b/>
                <w:sz w:val="22"/>
              </w:rPr>
              <w:t>Altitude (km)</w:t>
            </w:r>
          </w:p>
        </w:tc>
        <w:tc>
          <w:tcPr>
            <w:tcW w:type="dxa" w:w="1417"/>
            <w:shd w:val="clear" w:color="auto" w:fill="BFBFBF"/>
          </w:tcPr>
          <w:p>
            <w:pPr>
              <w:jc w:val="center"/>
            </w:pPr>
            <w:r>
              <w:rPr>
                <w:rFonts w:ascii="Times New Roman" w:hAnsi="Times New Roman"/>
                <w:b/>
                <w:sz w:val="22"/>
              </w:rPr>
              <w:t>Inclination</w:t>
            </w:r>
          </w:p>
        </w:tc>
        <w:tc>
          <w:tcPr>
            <w:tcW w:type="dxa" w:w="1134"/>
            <w:shd w:val="clear" w:color="auto" w:fill="BFBFBF"/>
          </w:tcPr>
          <w:p>
            <w:pPr>
              <w:jc w:val="center"/>
            </w:pPr>
            <w:r>
              <w:rPr>
                <w:rFonts w:ascii="Times New Roman" w:hAnsi="Times New Roman"/>
                <w:b/>
                <w:sz w:val="22"/>
              </w:rPr>
              <w:t>Manoeuvres</w:t>
            </w:r>
          </w:p>
        </w:tc>
      </w:tr>
      <w:tr>
        <w:tc>
          <w:tcPr>
            <w:tcW w:type="dxa" w:w="1701"/>
          </w:tcPr>
          <w:p>
            <w:pPr>
              <w:jc w:val="center"/>
            </w:pPr>
            <w:r>
              <w:rPr>
                <w:rFonts w:ascii="Times New Roman" w:hAnsi="Times New Roman"/>
                <w:sz w:val="22"/>
              </w:rPr>
              <w:t>Fengyun-2F</w:t>
            </w:r>
          </w:p>
        </w:tc>
        <w:tc>
          <w:tcPr>
            <w:tcW w:type="dxa" w:w="1417"/>
          </w:tcPr>
          <w:p>
            <w:pPr>
              <w:jc w:val="center"/>
            </w:pPr>
            <w:r>
              <w:rPr>
                <w:rFonts w:ascii="Times New Roman" w:hAnsi="Times New Roman"/>
                <w:sz w:val="22"/>
              </w:rPr>
              <w:t>GEO</w:t>
            </w:r>
          </w:p>
        </w:tc>
        <w:tc>
          <w:tcPr>
            <w:tcW w:type="dxa" w:w="1417"/>
          </w:tcPr>
          <w:p>
            <w:pPr>
              <w:jc w:val="center"/>
            </w:pPr>
            <w:r>
              <w:rPr>
                <w:rFonts w:ascii="Times New Roman" w:hAnsi="Times New Roman"/>
                <w:sz w:val="22"/>
              </w:rPr>
              <w:t>35,786</w:t>
            </w:r>
          </w:p>
        </w:tc>
        <w:tc>
          <w:tcPr>
            <w:tcW w:type="dxa" w:w="1417"/>
          </w:tcPr>
          <w:p>
            <w:pPr>
              <w:jc w:val="center"/>
            </w:pPr>
            <w:r>
              <w:rPr>
                <w:rFonts w:ascii="Times New Roman" w:hAnsi="Times New Roman"/>
                <w:sz w:val="22"/>
              </w:rPr>
              <w:t>4.4°</w:t>
            </w:r>
          </w:p>
        </w:tc>
        <w:tc>
          <w:tcPr>
            <w:tcW w:type="dxa" w:w="1134"/>
          </w:tcPr>
          <w:p>
            <w:pPr>
              <w:jc w:val="center"/>
            </w:pPr>
            <w:r>
              <w:rPr>
                <w:rFonts w:ascii="Times New Roman" w:hAnsi="Times New Roman"/>
                <w:sz w:val="22"/>
              </w:rPr>
              <w:t>12</w:t>
            </w:r>
          </w:p>
        </w:tc>
      </w:tr>
      <w:tr>
        <w:tc>
          <w:tcPr>
            <w:tcW w:type="dxa" w:w="1701"/>
          </w:tcPr>
          <w:p>
            <w:pPr>
              <w:jc w:val="center"/>
            </w:pPr>
            <w:r>
              <w:rPr>
                <w:rFonts w:ascii="Times New Roman" w:hAnsi="Times New Roman"/>
                <w:sz w:val="22"/>
              </w:rPr>
              <w:t>Fengyun-2H</w:t>
            </w:r>
          </w:p>
        </w:tc>
        <w:tc>
          <w:tcPr>
            <w:tcW w:type="dxa" w:w="1417"/>
          </w:tcPr>
          <w:p>
            <w:pPr>
              <w:jc w:val="center"/>
            </w:pPr>
            <w:r>
              <w:rPr>
                <w:rFonts w:ascii="Times New Roman" w:hAnsi="Times New Roman"/>
                <w:sz w:val="22"/>
              </w:rPr>
              <w:t>GEO</w:t>
            </w:r>
          </w:p>
        </w:tc>
        <w:tc>
          <w:tcPr>
            <w:tcW w:type="dxa" w:w="1417"/>
          </w:tcPr>
          <w:p>
            <w:pPr>
              <w:jc w:val="center"/>
            </w:pPr>
            <w:r>
              <w:rPr>
                <w:rFonts w:ascii="Times New Roman" w:hAnsi="Times New Roman"/>
                <w:sz w:val="22"/>
              </w:rPr>
              <w:t>35,786</w:t>
            </w:r>
          </w:p>
        </w:tc>
        <w:tc>
          <w:tcPr>
            <w:tcW w:type="dxa" w:w="1417"/>
          </w:tcPr>
          <w:p>
            <w:pPr>
              <w:jc w:val="center"/>
            </w:pPr>
            <w:r>
              <w:rPr>
                <w:rFonts w:ascii="Times New Roman" w:hAnsi="Times New Roman"/>
                <w:sz w:val="22"/>
              </w:rPr>
              <w:t>4.4°</w:t>
            </w:r>
          </w:p>
        </w:tc>
        <w:tc>
          <w:tcPr>
            <w:tcW w:type="dxa" w:w="1134"/>
          </w:tcPr>
          <w:p>
            <w:pPr>
              <w:jc w:val="center"/>
            </w:pPr>
            <w:r>
              <w:rPr>
                <w:rFonts w:ascii="Times New Roman" w:hAnsi="Times New Roman"/>
                <w:sz w:val="22"/>
              </w:rPr>
              <w:t>5</w:t>
            </w:r>
          </w:p>
        </w:tc>
      </w:tr>
      <w:tr>
        <w:tc>
          <w:tcPr>
            <w:tcW w:type="dxa" w:w="1701"/>
          </w:tcPr>
          <w:p>
            <w:pPr>
              <w:jc w:val="center"/>
            </w:pPr>
            <w:r>
              <w:rPr>
                <w:rFonts w:ascii="Times New Roman" w:hAnsi="Times New Roman"/>
                <w:sz w:val="22"/>
              </w:rPr>
              <w:t>Fengyun-4A</w:t>
            </w:r>
          </w:p>
        </w:tc>
        <w:tc>
          <w:tcPr>
            <w:tcW w:type="dxa" w:w="1417"/>
          </w:tcPr>
          <w:p>
            <w:pPr>
              <w:jc w:val="center"/>
            </w:pPr>
            <w:r>
              <w:rPr>
                <w:rFonts w:ascii="Times New Roman" w:hAnsi="Times New Roman"/>
                <w:sz w:val="22"/>
              </w:rPr>
              <w:t>GEO</w:t>
            </w:r>
          </w:p>
        </w:tc>
        <w:tc>
          <w:tcPr>
            <w:tcW w:type="dxa" w:w="1417"/>
          </w:tcPr>
          <w:p>
            <w:pPr>
              <w:jc w:val="center"/>
            </w:pPr>
            <w:r>
              <w:rPr>
                <w:rFonts w:ascii="Times New Roman" w:hAnsi="Times New Roman"/>
                <w:sz w:val="22"/>
              </w:rPr>
              <w:t>35,786</w:t>
            </w:r>
          </w:p>
        </w:tc>
        <w:tc>
          <w:tcPr>
            <w:tcW w:type="dxa" w:w="1417"/>
          </w:tcPr>
          <w:p>
            <w:pPr>
              <w:jc w:val="center"/>
            </w:pPr>
            <w:r>
              <w:rPr>
                <w:rFonts w:ascii="Times New Roman" w:hAnsi="Times New Roman"/>
                <w:sz w:val="22"/>
              </w:rPr>
              <w:t>0.2°</w:t>
            </w:r>
          </w:p>
        </w:tc>
        <w:tc>
          <w:tcPr>
            <w:tcW w:type="dxa" w:w="1134"/>
          </w:tcPr>
          <w:p>
            <w:pPr>
              <w:jc w:val="center"/>
            </w:pPr>
            <w:r>
              <w:rPr>
                <w:rFonts w:ascii="Times New Roman" w:hAnsi="Times New Roman"/>
                <w:sz w:val="22"/>
              </w:rPr>
              <w:t>26</w:t>
            </w:r>
          </w:p>
        </w:tc>
      </w:tr>
      <w:tr>
        <w:tc>
          <w:tcPr>
            <w:tcW w:type="dxa" w:w="1701"/>
          </w:tcPr>
          <w:p>
            <w:pPr>
              <w:jc w:val="center"/>
            </w:pPr>
            <w:r>
              <w:rPr>
                <w:rFonts w:ascii="Times New Roman" w:hAnsi="Times New Roman"/>
                <w:sz w:val="22"/>
              </w:rPr>
              <w:t>CryoSat-2</w:t>
            </w:r>
          </w:p>
        </w:tc>
        <w:tc>
          <w:tcPr>
            <w:tcW w:type="dxa" w:w="1417"/>
          </w:tcPr>
          <w:p>
            <w:pPr>
              <w:jc w:val="center"/>
            </w:pPr>
            <w:r>
              <w:rPr>
                <w:rFonts w:ascii="Times New Roman" w:hAnsi="Times New Roman"/>
                <w:sz w:val="22"/>
              </w:rPr>
              <w:t>SSO/Polar</w:t>
            </w:r>
          </w:p>
        </w:tc>
        <w:tc>
          <w:tcPr>
            <w:tcW w:type="dxa" w:w="1417"/>
          </w:tcPr>
          <w:p>
            <w:pPr>
              <w:jc w:val="center"/>
            </w:pPr>
            <w:r>
              <w:rPr>
                <w:rFonts w:ascii="Times New Roman" w:hAnsi="Times New Roman"/>
                <w:sz w:val="22"/>
              </w:rPr>
              <w:t>717</w:t>
            </w:r>
          </w:p>
        </w:tc>
        <w:tc>
          <w:tcPr>
            <w:tcW w:type="dxa" w:w="1417"/>
          </w:tcPr>
          <w:p>
            <w:pPr>
              <w:jc w:val="center"/>
            </w:pPr>
            <w:r>
              <w:rPr>
                <w:rFonts w:ascii="Times New Roman" w:hAnsi="Times New Roman"/>
                <w:sz w:val="22"/>
              </w:rPr>
              <w:t>92.0°</w:t>
            </w:r>
          </w:p>
        </w:tc>
        <w:tc>
          <w:tcPr>
            <w:tcW w:type="dxa" w:w="1134"/>
          </w:tcPr>
          <w:p>
            <w:pPr>
              <w:jc w:val="center"/>
            </w:pPr>
            <w:r>
              <w:rPr>
                <w:rFonts w:ascii="Times New Roman" w:hAnsi="Times New Roman"/>
                <w:sz w:val="22"/>
              </w:rPr>
              <w:t>14</w:t>
            </w:r>
          </w:p>
        </w:tc>
      </w:tr>
      <w:tr>
        <w:tc>
          <w:tcPr>
            <w:tcW w:type="dxa" w:w="1701"/>
          </w:tcPr>
          <w:p>
            <w:pPr>
              <w:jc w:val="center"/>
            </w:pPr>
            <w:r>
              <w:rPr>
                <w:rFonts w:ascii="Times New Roman" w:hAnsi="Times New Roman"/>
                <w:sz w:val="22"/>
              </w:rPr>
              <w:t>SARAL</w:t>
            </w:r>
          </w:p>
        </w:tc>
        <w:tc>
          <w:tcPr>
            <w:tcW w:type="dxa" w:w="1417"/>
          </w:tcPr>
          <w:p>
            <w:pPr>
              <w:jc w:val="center"/>
            </w:pPr>
            <w:r>
              <w:rPr>
                <w:rFonts w:ascii="Times New Roman" w:hAnsi="Times New Roman"/>
                <w:sz w:val="22"/>
              </w:rPr>
              <w:t>SSO/Polar</w:t>
            </w:r>
          </w:p>
        </w:tc>
        <w:tc>
          <w:tcPr>
            <w:tcW w:type="dxa" w:w="1417"/>
          </w:tcPr>
          <w:p>
            <w:pPr>
              <w:jc w:val="center"/>
            </w:pPr>
            <w:r>
              <w:rPr>
                <w:rFonts w:ascii="Times New Roman" w:hAnsi="Times New Roman"/>
                <w:sz w:val="22"/>
              </w:rPr>
              <w:t>781</w:t>
            </w:r>
          </w:p>
        </w:tc>
        <w:tc>
          <w:tcPr>
            <w:tcW w:type="dxa" w:w="1417"/>
          </w:tcPr>
          <w:p>
            <w:pPr>
              <w:jc w:val="center"/>
            </w:pPr>
            <w:r>
              <w:rPr>
                <w:rFonts w:ascii="Times New Roman" w:hAnsi="Times New Roman"/>
                <w:sz w:val="22"/>
              </w:rPr>
              <w:t>98.5°</w:t>
            </w:r>
          </w:p>
        </w:tc>
        <w:tc>
          <w:tcPr>
            <w:tcW w:type="dxa" w:w="1134"/>
          </w:tcPr>
          <w:p>
            <w:pPr>
              <w:jc w:val="center"/>
            </w:pPr>
            <w:r>
              <w:rPr>
                <w:rFonts w:ascii="Times New Roman" w:hAnsi="Times New Roman"/>
                <w:sz w:val="22"/>
              </w:rPr>
              <w:t>4</w:t>
            </w:r>
          </w:p>
        </w:tc>
      </w:tr>
      <w:tr>
        <w:tc>
          <w:tcPr>
            <w:tcW w:type="dxa" w:w="1701"/>
          </w:tcPr>
          <w:p>
            <w:pPr>
              <w:jc w:val="center"/>
            </w:pPr>
            <w:r>
              <w:rPr>
                <w:rFonts w:ascii="Times New Roman" w:hAnsi="Times New Roman"/>
                <w:sz w:val="22"/>
              </w:rPr>
              <w:t>Sentinel-3A</w:t>
            </w:r>
          </w:p>
        </w:tc>
        <w:tc>
          <w:tcPr>
            <w:tcW w:type="dxa" w:w="1417"/>
          </w:tcPr>
          <w:p>
            <w:pPr>
              <w:jc w:val="center"/>
            </w:pPr>
            <w:r>
              <w:rPr>
                <w:rFonts w:ascii="Times New Roman" w:hAnsi="Times New Roman"/>
                <w:sz w:val="22"/>
              </w:rPr>
              <w:t>SSO/Polar</w:t>
            </w:r>
          </w:p>
        </w:tc>
        <w:tc>
          <w:tcPr>
            <w:tcW w:type="dxa" w:w="1417"/>
          </w:tcPr>
          <w:p>
            <w:pPr>
              <w:jc w:val="center"/>
            </w:pPr>
            <w:r>
              <w:rPr>
                <w:rFonts w:ascii="Times New Roman" w:hAnsi="Times New Roman"/>
                <w:sz w:val="22"/>
              </w:rPr>
              <w:t>814</w:t>
            </w:r>
          </w:p>
        </w:tc>
        <w:tc>
          <w:tcPr>
            <w:tcW w:type="dxa" w:w="1417"/>
          </w:tcPr>
          <w:p>
            <w:pPr>
              <w:jc w:val="center"/>
            </w:pPr>
            <w:r>
              <w:rPr>
                <w:rFonts w:ascii="Times New Roman" w:hAnsi="Times New Roman"/>
                <w:sz w:val="22"/>
              </w:rPr>
              <w:t>98.6°</w:t>
            </w:r>
          </w:p>
        </w:tc>
        <w:tc>
          <w:tcPr>
            <w:tcW w:type="dxa" w:w="1134"/>
          </w:tcPr>
          <w:p>
            <w:pPr>
              <w:jc w:val="center"/>
            </w:pPr>
            <w:r>
              <w:rPr>
                <w:rFonts w:ascii="Times New Roman" w:hAnsi="Times New Roman"/>
                <w:sz w:val="22"/>
              </w:rPr>
              <w:t>25</w:t>
            </w:r>
          </w:p>
        </w:tc>
      </w:tr>
      <w:tr>
        <w:tc>
          <w:tcPr>
            <w:tcW w:type="dxa" w:w="1701"/>
          </w:tcPr>
          <w:p>
            <w:pPr>
              <w:jc w:val="center"/>
            </w:pPr>
            <w:r>
              <w:rPr>
                <w:rFonts w:ascii="Times New Roman" w:hAnsi="Times New Roman"/>
                <w:sz w:val="22"/>
              </w:rPr>
              <w:t>Sentinel-3B</w:t>
            </w:r>
          </w:p>
        </w:tc>
        <w:tc>
          <w:tcPr>
            <w:tcW w:type="dxa" w:w="1417"/>
          </w:tcPr>
          <w:p>
            <w:pPr>
              <w:jc w:val="center"/>
            </w:pPr>
            <w:r>
              <w:rPr>
                <w:rFonts w:ascii="Times New Roman" w:hAnsi="Times New Roman"/>
                <w:sz w:val="22"/>
              </w:rPr>
              <w:t>SSO/Polar</w:t>
            </w:r>
          </w:p>
        </w:tc>
        <w:tc>
          <w:tcPr>
            <w:tcW w:type="dxa" w:w="1417"/>
          </w:tcPr>
          <w:p>
            <w:pPr>
              <w:jc w:val="center"/>
            </w:pPr>
            <w:r>
              <w:rPr>
                <w:rFonts w:ascii="Times New Roman" w:hAnsi="Times New Roman"/>
                <w:sz w:val="22"/>
              </w:rPr>
              <w:t>814</w:t>
            </w:r>
          </w:p>
        </w:tc>
        <w:tc>
          <w:tcPr>
            <w:tcW w:type="dxa" w:w="1417"/>
          </w:tcPr>
          <w:p>
            <w:pPr>
              <w:jc w:val="center"/>
            </w:pPr>
            <w:r>
              <w:rPr>
                <w:rFonts w:ascii="Times New Roman" w:hAnsi="Times New Roman"/>
                <w:sz w:val="22"/>
              </w:rPr>
              <w:t>98.6°</w:t>
            </w:r>
          </w:p>
        </w:tc>
        <w:tc>
          <w:tcPr>
            <w:tcW w:type="dxa" w:w="1134"/>
          </w:tcPr>
          <w:p>
            <w:pPr>
              <w:jc w:val="center"/>
            </w:pPr>
            <w:r>
              <w:rPr>
                <w:rFonts w:ascii="Times New Roman" w:hAnsi="Times New Roman"/>
                <w:sz w:val="22"/>
              </w:rPr>
              <w:t>10</w:t>
            </w:r>
          </w:p>
        </w:tc>
      </w:tr>
      <w:tr>
        <w:tc>
          <w:tcPr>
            <w:tcW w:type="dxa" w:w="1701"/>
          </w:tcPr>
          <w:p>
            <w:pPr>
              <w:jc w:val="center"/>
            </w:pPr>
            <w:r>
              <w:rPr>
                <w:rFonts w:ascii="Times New Roman" w:hAnsi="Times New Roman"/>
                <w:sz w:val="22"/>
              </w:rPr>
              <w:t>Jason-3</w:t>
            </w:r>
          </w:p>
        </w:tc>
        <w:tc>
          <w:tcPr>
            <w:tcW w:type="dxa" w:w="1417"/>
          </w:tcPr>
          <w:p>
            <w:pPr>
              <w:jc w:val="center"/>
            </w:pPr>
            <w:r>
              <w:rPr>
                <w:rFonts w:ascii="Times New Roman" w:hAnsi="Times New Roman"/>
                <w:sz w:val="22"/>
              </w:rPr>
              <w:t>LEO-66°</w:t>
            </w:r>
          </w:p>
        </w:tc>
        <w:tc>
          <w:tcPr>
            <w:tcW w:type="dxa" w:w="1417"/>
          </w:tcPr>
          <w:p>
            <w:pPr>
              <w:jc w:val="center"/>
            </w:pPr>
            <w:r>
              <w:rPr>
                <w:rFonts w:ascii="Times New Roman" w:hAnsi="Times New Roman"/>
                <w:sz w:val="22"/>
              </w:rPr>
              <w:t>1,336</w:t>
            </w:r>
          </w:p>
        </w:tc>
        <w:tc>
          <w:tcPr>
            <w:tcW w:type="dxa" w:w="1417"/>
          </w:tcPr>
          <w:p>
            <w:pPr>
              <w:jc w:val="center"/>
            </w:pPr>
            <w:r>
              <w:rPr>
                <w:rFonts w:ascii="Times New Roman" w:hAnsi="Times New Roman"/>
                <w:sz w:val="22"/>
              </w:rPr>
              <w:t>66.0°</w:t>
            </w:r>
          </w:p>
        </w:tc>
        <w:tc>
          <w:tcPr>
            <w:tcW w:type="dxa" w:w="1134"/>
          </w:tcPr>
          <w:p>
            <w:pPr>
              <w:jc w:val="center"/>
            </w:pPr>
            <w:r>
              <w:rPr>
                <w:rFonts w:ascii="Times New Roman" w:hAnsi="Times New Roman"/>
                <w:sz w:val="22"/>
              </w:rPr>
              <w:t>4</w:t>
            </w:r>
          </w:p>
        </w:tc>
      </w:tr>
      <w:tr>
        <w:tc>
          <w:tcPr>
            <w:tcW w:type="dxa" w:w="1701"/>
          </w:tcPr>
          <w:p>
            <w:pPr>
              <w:jc w:val="center"/>
            </w:pPr>
            <w:r>
              <w:rPr>
                <w:rFonts w:ascii="Times New Roman" w:hAnsi="Times New Roman"/>
                <w:sz w:val="22"/>
              </w:rPr>
              <w:t>Sentinel-6A</w:t>
            </w:r>
          </w:p>
        </w:tc>
        <w:tc>
          <w:tcPr>
            <w:tcW w:type="dxa" w:w="1417"/>
          </w:tcPr>
          <w:p>
            <w:pPr>
              <w:jc w:val="center"/>
            </w:pPr>
            <w:r>
              <w:rPr>
                <w:rFonts w:ascii="Times New Roman" w:hAnsi="Times New Roman"/>
                <w:sz w:val="22"/>
              </w:rPr>
              <w:t>LEO-66°</w:t>
            </w:r>
          </w:p>
        </w:tc>
        <w:tc>
          <w:tcPr>
            <w:tcW w:type="dxa" w:w="1417"/>
          </w:tcPr>
          <w:p>
            <w:pPr>
              <w:jc w:val="center"/>
            </w:pPr>
            <w:r>
              <w:rPr>
                <w:rFonts w:ascii="Times New Roman" w:hAnsi="Times New Roman"/>
                <w:sz w:val="22"/>
              </w:rPr>
              <w:t>1,336</w:t>
            </w:r>
          </w:p>
        </w:tc>
        <w:tc>
          <w:tcPr>
            <w:tcW w:type="dxa" w:w="1417"/>
          </w:tcPr>
          <w:p>
            <w:pPr>
              <w:jc w:val="center"/>
            </w:pPr>
            <w:r>
              <w:rPr>
                <w:rFonts w:ascii="Times New Roman" w:hAnsi="Times New Roman"/>
                <w:sz w:val="22"/>
              </w:rPr>
              <w:t>66.0°</w:t>
            </w:r>
          </w:p>
        </w:tc>
        <w:tc>
          <w:tcPr>
            <w:tcW w:type="dxa" w:w="1134"/>
          </w:tcPr>
          <w:p>
            <w:pPr>
              <w:jc w:val="center"/>
            </w:pPr>
            <w:r>
              <w:rPr>
                <w:rFonts w:ascii="Times New Roman" w:hAnsi="Times New Roman"/>
                <w:sz w:val="22"/>
              </w:rPr>
              <w:t>7</w:t>
            </w:r>
          </w:p>
        </w:tc>
      </w:tr>
      <w:tr>
        <w:tc>
          <w:tcPr>
            <w:tcW w:type="dxa" w:w="1701"/>
          </w:tcPr>
          <w:p>
            <w:pPr>
              <w:jc w:val="center"/>
            </w:pPr>
            <w:r>
              <w:rPr>
                <w:rFonts w:ascii="Times New Roman" w:hAnsi="Times New Roman"/>
                <w:sz w:val="22"/>
              </w:rPr>
              <w:t>TOTAL</w:t>
            </w:r>
          </w:p>
        </w:tc>
        <w:tc>
          <w:tcPr>
            <w:tcW w:type="dxa" w:w="1417"/>
          </w:tcPr>
          <w:p>
            <w:pPr>
              <w:jc w:val="center"/>
            </w:pPr>
            <w:r>
              <w:rPr>
                <w:rFonts w:ascii="Times New Roman" w:hAnsi="Times New Roman"/>
                <w:sz w:val="22"/>
              </w:rPr>
              <w:t>—</w:t>
            </w:r>
          </w:p>
        </w:tc>
        <w:tc>
          <w:tcPr>
            <w:tcW w:type="dxa" w:w="1417"/>
          </w:tcPr>
          <w:p>
            <w:pPr>
              <w:jc w:val="center"/>
            </w:pPr>
            <w:r>
              <w:rPr>
                <w:rFonts w:ascii="Times New Roman" w:hAnsi="Times New Roman"/>
                <w:sz w:val="22"/>
              </w:rPr>
              <w:t>—</w:t>
            </w:r>
          </w:p>
        </w:tc>
        <w:tc>
          <w:tcPr>
            <w:tcW w:type="dxa" w:w="1417"/>
          </w:tcPr>
          <w:p>
            <w:pPr>
              <w:jc w:val="center"/>
            </w:pPr>
            <w:r>
              <w:rPr>
                <w:rFonts w:ascii="Times New Roman" w:hAnsi="Times New Roman"/>
                <w:sz w:val="22"/>
              </w:rPr>
              <w:t>—</w:t>
            </w:r>
          </w:p>
        </w:tc>
        <w:tc>
          <w:tcPr>
            <w:tcW w:type="dxa" w:w="1134"/>
          </w:tcPr>
          <w:p>
            <w:pPr>
              <w:jc w:val="center"/>
            </w:pPr>
            <w:r>
              <w:rPr>
                <w:rFonts w:ascii="Times New Roman" w:hAnsi="Times New Roman"/>
                <w:sz w:val="22"/>
              </w:rPr>
              <w:t>125 (107 train + 30 test)</w:t>
            </w:r>
          </w:p>
        </w:tc>
      </w:tr>
    </w:tbl>
    <w:p/>
    <w:p>
      <w:pPr>
        <w:spacing w:before="240" w:after="80"/>
      </w:pPr>
      <w:r>
        <w:rPr>
          <w:rFonts w:ascii="Times New Roman" w:hAnsi="Times New Roman"/>
          <w:b/>
          <w:i/>
          <w:sz w:val="24"/>
        </w:rPr>
        <w:t>6.2  Multi-Seed Performance (5 Seeds, Test Split)</w:t>
      </w:r>
    </w:p>
    <w:tbl>
      <w:tblPr>
        <w:tblStyle w:val="TableGrid"/>
        <w:tblW w:type="auto" w:w="0"/>
        <w:tblLook w:firstColumn="1" w:firstRow="1" w:lastColumn="0" w:lastRow="0" w:noHBand="0" w:noVBand="1" w:val="04A0"/>
      </w:tblPr>
      <w:tblGrid>
        <w:gridCol w:w="1370"/>
        <w:gridCol w:w="1370"/>
        <w:gridCol w:w="1370"/>
        <w:gridCol w:w="1370"/>
        <w:gridCol w:w="1370"/>
        <w:gridCol w:w="1370"/>
      </w:tblGrid>
      <w:tr>
        <w:tc>
          <w:tcPr>
            <w:tcW w:type="dxa" w:w="1134"/>
            <w:shd w:val="clear" w:color="auto" w:fill="BFBFBF"/>
          </w:tcPr>
          <w:p>
            <w:pPr>
              <w:jc w:val="center"/>
            </w:pPr>
            <w:r>
              <w:rPr>
                <w:rFonts w:ascii="Times New Roman" w:hAnsi="Times New Roman"/>
                <w:b/>
                <w:sz w:val="22"/>
              </w:rPr>
              <w:t>Seed</w:t>
            </w:r>
          </w:p>
        </w:tc>
        <w:tc>
          <w:tcPr>
            <w:tcW w:type="dxa" w:w="1417"/>
            <w:shd w:val="clear" w:color="auto" w:fill="BFBFBF"/>
          </w:tcPr>
          <w:p>
            <w:pPr>
              <w:jc w:val="center"/>
            </w:pPr>
            <w:r>
              <w:rPr>
                <w:rFonts w:ascii="Times New Roman" w:hAnsi="Times New Roman"/>
                <w:b/>
                <w:sz w:val="22"/>
              </w:rPr>
              <w:t>ROC-AUC</w:t>
            </w:r>
          </w:p>
        </w:tc>
        <w:tc>
          <w:tcPr>
            <w:tcW w:type="dxa" w:w="1417"/>
            <w:shd w:val="clear" w:color="auto" w:fill="BFBFBF"/>
          </w:tcPr>
          <w:p>
            <w:pPr>
              <w:jc w:val="center"/>
            </w:pPr>
            <w:r>
              <w:rPr>
                <w:rFonts w:ascii="Times New Roman" w:hAnsi="Times New Roman"/>
                <w:b/>
                <w:sz w:val="22"/>
              </w:rPr>
              <w:t>PR-AUC</w:t>
            </w:r>
          </w:p>
        </w:tc>
        <w:tc>
          <w:tcPr>
            <w:tcW w:type="dxa" w:w="1417"/>
            <w:shd w:val="clear" w:color="auto" w:fill="BFBFBF"/>
          </w:tcPr>
          <w:p>
            <w:pPr>
              <w:jc w:val="center"/>
            </w:pPr>
            <w:r>
              <w:rPr>
                <w:rFonts w:ascii="Times New Roman" w:hAnsi="Times New Roman"/>
                <w:b/>
                <w:sz w:val="22"/>
              </w:rPr>
              <w:t>F1</w:t>
            </w:r>
          </w:p>
        </w:tc>
        <w:tc>
          <w:tcPr>
            <w:tcW w:type="dxa" w:w="1417"/>
            <w:shd w:val="clear" w:color="auto" w:fill="BFBFBF"/>
          </w:tcPr>
          <w:p>
            <w:pPr>
              <w:jc w:val="center"/>
            </w:pPr>
            <w:r>
              <w:rPr>
                <w:rFonts w:ascii="Times New Roman" w:hAnsi="Times New Roman"/>
                <w:b/>
                <w:sz w:val="22"/>
              </w:rPr>
              <w:t>Precision</w:t>
            </w:r>
          </w:p>
        </w:tc>
        <w:tc>
          <w:tcPr>
            <w:tcW w:type="dxa" w:w="1417"/>
            <w:shd w:val="clear" w:color="auto" w:fill="BFBFBF"/>
          </w:tcPr>
          <w:p>
            <w:pPr>
              <w:jc w:val="center"/>
            </w:pPr>
            <w:r>
              <w:rPr>
                <w:rFonts w:ascii="Times New Roman" w:hAnsi="Times New Roman"/>
                <w:b/>
                <w:sz w:val="22"/>
              </w:rPr>
              <w:t>Recall</w:t>
            </w:r>
          </w:p>
        </w:tc>
      </w:tr>
      <w:tr>
        <w:tc>
          <w:tcPr>
            <w:tcW w:type="dxa" w:w="1134"/>
          </w:tcPr>
          <w:p>
            <w:pPr>
              <w:jc w:val="center"/>
            </w:pPr>
            <w:r>
              <w:rPr>
                <w:rFonts w:ascii="Times New Roman" w:hAnsi="Times New Roman"/>
                <w:sz w:val="22"/>
              </w:rPr>
              <w:t>1</w:t>
            </w:r>
          </w:p>
        </w:tc>
        <w:tc>
          <w:tcPr>
            <w:tcW w:type="dxa" w:w="1417"/>
          </w:tcPr>
          <w:p>
            <w:pPr>
              <w:jc w:val="center"/>
            </w:pPr>
            <w:r>
              <w:rPr>
                <w:rFonts w:ascii="Times New Roman" w:hAnsi="Times New Roman"/>
                <w:sz w:val="22"/>
              </w:rPr>
              <w:t>0.5880</w:t>
            </w:r>
          </w:p>
        </w:tc>
        <w:tc>
          <w:tcPr>
            <w:tcW w:type="dxa" w:w="1417"/>
          </w:tcPr>
          <w:p>
            <w:pPr>
              <w:jc w:val="center"/>
            </w:pPr>
            <w:r>
              <w:rPr>
                <w:rFonts w:ascii="Times New Roman" w:hAnsi="Times New Roman"/>
                <w:sz w:val="22"/>
              </w:rPr>
              <w:t>0.0757</w:t>
            </w:r>
          </w:p>
        </w:tc>
        <w:tc>
          <w:tcPr>
            <w:tcW w:type="dxa" w:w="1417"/>
          </w:tcPr>
          <w:p>
            <w:pPr>
              <w:jc w:val="center"/>
            </w:pPr>
            <w:r>
              <w:rPr>
                <w:rFonts w:ascii="Times New Roman" w:hAnsi="Times New Roman"/>
                <w:sz w:val="22"/>
              </w:rPr>
              <w:t>0.1840</w:t>
            </w:r>
          </w:p>
        </w:tc>
        <w:tc>
          <w:tcPr>
            <w:tcW w:type="dxa" w:w="1417"/>
          </w:tcPr>
          <w:p>
            <w:pPr>
              <w:jc w:val="center"/>
            </w:pPr>
            <w:r>
              <w:rPr>
                <w:rFonts w:ascii="Times New Roman" w:hAnsi="Times New Roman"/>
                <w:sz w:val="22"/>
              </w:rPr>
              <w:t>0.1429</w:t>
            </w:r>
          </w:p>
        </w:tc>
        <w:tc>
          <w:tcPr>
            <w:tcW w:type="dxa" w:w="1417"/>
          </w:tcPr>
          <w:p>
            <w:pPr>
              <w:jc w:val="center"/>
            </w:pPr>
            <w:r>
              <w:rPr>
                <w:rFonts w:ascii="Times New Roman" w:hAnsi="Times New Roman"/>
                <w:sz w:val="22"/>
              </w:rPr>
              <w:t>0.2586</w:t>
            </w:r>
          </w:p>
        </w:tc>
      </w:tr>
      <w:tr>
        <w:tc>
          <w:tcPr>
            <w:tcW w:type="dxa" w:w="1134"/>
          </w:tcPr>
          <w:p>
            <w:pPr>
              <w:jc w:val="center"/>
            </w:pPr>
            <w:r>
              <w:rPr>
                <w:rFonts w:ascii="Times New Roman" w:hAnsi="Times New Roman"/>
                <w:sz w:val="22"/>
              </w:rPr>
              <w:t>2</w:t>
            </w:r>
          </w:p>
        </w:tc>
        <w:tc>
          <w:tcPr>
            <w:tcW w:type="dxa" w:w="1417"/>
          </w:tcPr>
          <w:p>
            <w:pPr>
              <w:jc w:val="center"/>
            </w:pPr>
            <w:r>
              <w:rPr>
                <w:rFonts w:ascii="Times New Roman" w:hAnsi="Times New Roman"/>
                <w:sz w:val="22"/>
              </w:rPr>
              <w:t>0.5720</w:t>
            </w:r>
          </w:p>
        </w:tc>
        <w:tc>
          <w:tcPr>
            <w:tcW w:type="dxa" w:w="1417"/>
          </w:tcPr>
          <w:p>
            <w:pPr>
              <w:jc w:val="center"/>
            </w:pPr>
            <w:r>
              <w:rPr>
                <w:rFonts w:ascii="Times New Roman" w:hAnsi="Times New Roman"/>
                <w:sz w:val="22"/>
              </w:rPr>
              <w:t>0.0861</w:t>
            </w:r>
          </w:p>
        </w:tc>
        <w:tc>
          <w:tcPr>
            <w:tcW w:type="dxa" w:w="1417"/>
          </w:tcPr>
          <w:p>
            <w:pPr>
              <w:jc w:val="center"/>
            </w:pPr>
            <w:r>
              <w:rPr>
                <w:rFonts w:ascii="Times New Roman" w:hAnsi="Times New Roman"/>
                <w:sz w:val="22"/>
              </w:rPr>
              <w:t>0.2044</w:t>
            </w:r>
          </w:p>
        </w:tc>
        <w:tc>
          <w:tcPr>
            <w:tcW w:type="dxa" w:w="1417"/>
          </w:tcPr>
          <w:p>
            <w:pPr>
              <w:jc w:val="center"/>
            </w:pPr>
            <w:r>
              <w:rPr>
                <w:rFonts w:ascii="Times New Roman" w:hAnsi="Times New Roman"/>
                <w:sz w:val="22"/>
              </w:rPr>
              <w:t>0.1772</w:t>
            </w:r>
          </w:p>
        </w:tc>
        <w:tc>
          <w:tcPr>
            <w:tcW w:type="dxa" w:w="1417"/>
          </w:tcPr>
          <w:p>
            <w:pPr>
              <w:jc w:val="center"/>
            </w:pPr>
            <w:r>
              <w:rPr>
                <w:rFonts w:ascii="Times New Roman" w:hAnsi="Times New Roman"/>
                <w:sz w:val="22"/>
              </w:rPr>
              <w:t>0.2414</w:t>
            </w:r>
          </w:p>
        </w:tc>
      </w:tr>
      <w:tr>
        <w:tc>
          <w:tcPr>
            <w:tcW w:type="dxa" w:w="1134"/>
          </w:tcPr>
          <w:p>
            <w:pPr>
              <w:jc w:val="center"/>
            </w:pPr>
            <w:r>
              <w:rPr>
                <w:rFonts w:ascii="Times New Roman" w:hAnsi="Times New Roman"/>
                <w:sz w:val="22"/>
              </w:rPr>
              <w:t>3</w:t>
            </w:r>
          </w:p>
        </w:tc>
        <w:tc>
          <w:tcPr>
            <w:tcW w:type="dxa" w:w="1417"/>
          </w:tcPr>
          <w:p>
            <w:pPr>
              <w:jc w:val="center"/>
            </w:pPr>
            <w:r>
              <w:rPr>
                <w:rFonts w:ascii="Times New Roman" w:hAnsi="Times New Roman"/>
                <w:sz w:val="22"/>
              </w:rPr>
              <w:t>0.5877</w:t>
            </w:r>
          </w:p>
        </w:tc>
        <w:tc>
          <w:tcPr>
            <w:tcW w:type="dxa" w:w="1417"/>
          </w:tcPr>
          <w:p>
            <w:pPr>
              <w:jc w:val="center"/>
            </w:pPr>
            <w:r>
              <w:rPr>
                <w:rFonts w:ascii="Times New Roman" w:hAnsi="Times New Roman"/>
                <w:sz w:val="22"/>
              </w:rPr>
              <w:t>0.0747</w:t>
            </w:r>
          </w:p>
        </w:tc>
        <w:tc>
          <w:tcPr>
            <w:tcW w:type="dxa" w:w="1417"/>
          </w:tcPr>
          <w:p>
            <w:pPr>
              <w:jc w:val="center"/>
            </w:pPr>
            <w:r>
              <w:rPr>
                <w:rFonts w:ascii="Times New Roman" w:hAnsi="Times New Roman"/>
                <w:sz w:val="22"/>
              </w:rPr>
              <w:t>0.1867</w:t>
            </w:r>
          </w:p>
        </w:tc>
        <w:tc>
          <w:tcPr>
            <w:tcW w:type="dxa" w:w="1417"/>
          </w:tcPr>
          <w:p>
            <w:pPr>
              <w:jc w:val="center"/>
            </w:pPr>
            <w:r>
              <w:rPr>
                <w:rFonts w:ascii="Times New Roman" w:hAnsi="Times New Roman"/>
                <w:sz w:val="22"/>
              </w:rPr>
              <w:t>0.1522</w:t>
            </w:r>
          </w:p>
        </w:tc>
        <w:tc>
          <w:tcPr>
            <w:tcW w:type="dxa" w:w="1417"/>
          </w:tcPr>
          <w:p>
            <w:pPr>
              <w:jc w:val="center"/>
            </w:pPr>
            <w:r>
              <w:rPr>
                <w:rFonts w:ascii="Times New Roman" w:hAnsi="Times New Roman"/>
                <w:sz w:val="22"/>
              </w:rPr>
              <w:t>0.2414</w:t>
            </w:r>
          </w:p>
        </w:tc>
      </w:tr>
      <w:tr>
        <w:tc>
          <w:tcPr>
            <w:tcW w:type="dxa" w:w="1134"/>
          </w:tcPr>
          <w:p>
            <w:pPr>
              <w:jc w:val="center"/>
            </w:pPr>
            <w:r>
              <w:rPr>
                <w:rFonts w:ascii="Times New Roman" w:hAnsi="Times New Roman"/>
                <w:sz w:val="22"/>
              </w:rPr>
              <w:t>4</w:t>
            </w:r>
          </w:p>
        </w:tc>
        <w:tc>
          <w:tcPr>
            <w:tcW w:type="dxa" w:w="1417"/>
          </w:tcPr>
          <w:p>
            <w:pPr>
              <w:jc w:val="center"/>
            </w:pPr>
            <w:r>
              <w:rPr>
                <w:rFonts w:ascii="Times New Roman" w:hAnsi="Times New Roman"/>
                <w:sz w:val="22"/>
              </w:rPr>
              <w:t>0.5815</w:t>
            </w:r>
          </w:p>
        </w:tc>
        <w:tc>
          <w:tcPr>
            <w:tcW w:type="dxa" w:w="1417"/>
          </w:tcPr>
          <w:p>
            <w:pPr>
              <w:jc w:val="center"/>
            </w:pPr>
            <w:r>
              <w:rPr>
                <w:rFonts w:ascii="Times New Roman" w:hAnsi="Times New Roman"/>
                <w:sz w:val="22"/>
              </w:rPr>
              <w:t>0.0807</w:t>
            </w:r>
          </w:p>
        </w:tc>
        <w:tc>
          <w:tcPr>
            <w:tcW w:type="dxa" w:w="1417"/>
          </w:tcPr>
          <w:p>
            <w:pPr>
              <w:jc w:val="center"/>
            </w:pPr>
            <w:r>
              <w:rPr>
                <w:rFonts w:ascii="Times New Roman" w:hAnsi="Times New Roman"/>
                <w:sz w:val="22"/>
              </w:rPr>
              <w:t>0.1752</w:t>
            </w:r>
          </w:p>
        </w:tc>
        <w:tc>
          <w:tcPr>
            <w:tcW w:type="dxa" w:w="1417"/>
          </w:tcPr>
          <w:p>
            <w:pPr>
              <w:jc w:val="center"/>
            </w:pPr>
            <w:r>
              <w:rPr>
                <w:rFonts w:ascii="Times New Roman" w:hAnsi="Times New Roman"/>
                <w:sz w:val="22"/>
              </w:rPr>
              <w:t>0.1519</w:t>
            </w:r>
          </w:p>
        </w:tc>
        <w:tc>
          <w:tcPr>
            <w:tcW w:type="dxa" w:w="1417"/>
          </w:tcPr>
          <w:p>
            <w:pPr>
              <w:jc w:val="center"/>
            </w:pPr>
            <w:r>
              <w:rPr>
                <w:rFonts w:ascii="Times New Roman" w:hAnsi="Times New Roman"/>
                <w:sz w:val="22"/>
              </w:rPr>
              <w:t>0.2069</w:t>
            </w:r>
          </w:p>
        </w:tc>
      </w:tr>
      <w:tr>
        <w:tc>
          <w:tcPr>
            <w:tcW w:type="dxa" w:w="1134"/>
          </w:tcPr>
          <w:p>
            <w:pPr>
              <w:jc w:val="center"/>
            </w:pPr>
            <w:r>
              <w:rPr>
                <w:rFonts w:ascii="Times New Roman" w:hAnsi="Times New Roman"/>
                <w:sz w:val="22"/>
              </w:rPr>
              <w:t>5</w:t>
            </w:r>
          </w:p>
        </w:tc>
        <w:tc>
          <w:tcPr>
            <w:tcW w:type="dxa" w:w="1417"/>
          </w:tcPr>
          <w:p>
            <w:pPr>
              <w:jc w:val="center"/>
            </w:pPr>
            <w:r>
              <w:rPr>
                <w:rFonts w:ascii="Times New Roman" w:hAnsi="Times New Roman"/>
                <w:sz w:val="22"/>
              </w:rPr>
              <w:t>0.6036</w:t>
            </w:r>
          </w:p>
        </w:tc>
        <w:tc>
          <w:tcPr>
            <w:tcW w:type="dxa" w:w="1417"/>
          </w:tcPr>
          <w:p>
            <w:pPr>
              <w:jc w:val="center"/>
            </w:pPr>
            <w:r>
              <w:rPr>
                <w:rFonts w:ascii="Times New Roman" w:hAnsi="Times New Roman"/>
                <w:sz w:val="22"/>
              </w:rPr>
              <w:t>0.0907</w:t>
            </w:r>
          </w:p>
        </w:tc>
        <w:tc>
          <w:tcPr>
            <w:tcW w:type="dxa" w:w="1417"/>
          </w:tcPr>
          <w:p>
            <w:pPr>
              <w:jc w:val="center"/>
            </w:pPr>
            <w:r>
              <w:rPr>
                <w:rFonts w:ascii="Times New Roman" w:hAnsi="Times New Roman"/>
                <w:sz w:val="22"/>
              </w:rPr>
              <w:t>0.1867</w:t>
            </w:r>
          </w:p>
        </w:tc>
        <w:tc>
          <w:tcPr>
            <w:tcW w:type="dxa" w:w="1417"/>
          </w:tcPr>
          <w:p>
            <w:pPr>
              <w:jc w:val="center"/>
            </w:pPr>
            <w:r>
              <w:rPr>
                <w:rFonts w:ascii="Times New Roman" w:hAnsi="Times New Roman"/>
                <w:sz w:val="22"/>
              </w:rPr>
              <w:t>0.1522</w:t>
            </w:r>
          </w:p>
        </w:tc>
        <w:tc>
          <w:tcPr>
            <w:tcW w:type="dxa" w:w="1417"/>
          </w:tcPr>
          <w:p>
            <w:pPr>
              <w:jc w:val="center"/>
            </w:pPr>
            <w:r>
              <w:rPr>
                <w:rFonts w:ascii="Times New Roman" w:hAnsi="Times New Roman"/>
                <w:sz w:val="22"/>
              </w:rPr>
              <w:t>0.2414</w:t>
            </w:r>
          </w:p>
        </w:tc>
      </w:tr>
      <w:tr>
        <w:tc>
          <w:tcPr>
            <w:tcW w:type="dxa" w:w="1134"/>
          </w:tcPr>
          <w:p>
            <w:pPr>
              <w:jc w:val="center"/>
            </w:pPr>
            <w:r>
              <w:rPr>
                <w:rFonts w:ascii="Times New Roman" w:hAnsi="Times New Roman"/>
                <w:sz w:val="22"/>
              </w:rPr>
              <w:t>Mean±Std</w:t>
            </w:r>
          </w:p>
        </w:tc>
        <w:tc>
          <w:tcPr>
            <w:tcW w:type="dxa" w:w="1417"/>
          </w:tcPr>
          <w:p>
            <w:pPr>
              <w:jc w:val="center"/>
            </w:pPr>
            <w:r>
              <w:rPr>
                <w:rFonts w:ascii="Times New Roman" w:hAnsi="Times New Roman"/>
                <w:sz w:val="22"/>
              </w:rPr>
              <w:t>0.587±0.010</w:t>
            </w:r>
          </w:p>
        </w:tc>
        <w:tc>
          <w:tcPr>
            <w:tcW w:type="dxa" w:w="1417"/>
          </w:tcPr>
          <w:p>
            <w:pPr>
              <w:jc w:val="center"/>
            </w:pPr>
            <w:r>
              <w:rPr>
                <w:rFonts w:ascii="Times New Roman" w:hAnsi="Times New Roman"/>
                <w:sz w:val="22"/>
              </w:rPr>
              <w:t>0.082±0.006</w:t>
            </w:r>
          </w:p>
        </w:tc>
        <w:tc>
          <w:tcPr>
            <w:tcW w:type="dxa" w:w="1417"/>
          </w:tcPr>
          <w:p>
            <w:pPr>
              <w:jc w:val="center"/>
            </w:pPr>
            <w:r>
              <w:rPr>
                <w:rFonts w:ascii="Times New Roman" w:hAnsi="Times New Roman"/>
                <w:sz w:val="22"/>
              </w:rPr>
              <w:t>0.187±0.010</w:t>
            </w:r>
          </w:p>
        </w:tc>
        <w:tc>
          <w:tcPr>
            <w:tcW w:type="dxa" w:w="1417"/>
          </w:tcPr>
          <w:p>
            <w:pPr>
              <w:jc w:val="center"/>
            </w:pPr>
            <w:r>
              <w:rPr>
                <w:rFonts w:ascii="Times New Roman" w:hAnsi="Times New Roman"/>
                <w:sz w:val="22"/>
              </w:rPr>
              <w:t>0.155±0.012</w:t>
            </w:r>
          </w:p>
        </w:tc>
        <w:tc>
          <w:tcPr>
            <w:tcW w:type="dxa" w:w="1417"/>
          </w:tcPr>
          <w:p>
            <w:pPr>
              <w:jc w:val="center"/>
            </w:pPr>
            <w:r>
              <w:rPr>
                <w:rFonts w:ascii="Times New Roman" w:hAnsi="Times New Roman"/>
                <w:sz w:val="22"/>
              </w:rPr>
              <w:t>0.238±0.017</w:t>
            </w:r>
          </w:p>
        </w:tc>
      </w:tr>
    </w:tbl>
    <w:p/>
    <w:p>
      <w:pPr>
        <w:spacing w:line="480" w:lineRule="auto" w:before="0" w:after="0"/>
        <w:ind w:left="0"/>
        <w:jc w:val="both"/>
      </w:pPr>
      <w:r>
        <w:rPr>
          <w:rFonts w:ascii="Times New Roman" w:hAnsi="Times New Roman"/>
          <w:b w:val="0"/>
          <w:i w:val="0"/>
          <w:sz w:val="24"/>
        </w:rPr>
        <w:t>Bootstrap 95% CI (N=2000): ROC-AUC [0.482, 0.660]; PR-AUC [0.045, 0.120]; F1 [0.110, 0.256].</w:t>
      </w:r>
    </w:p>
    <w:p>
      <w:pPr>
        <w:spacing w:before="240" w:after="80"/>
      </w:pPr>
      <w:r>
        <w:rPr>
          <w:rFonts w:ascii="Times New Roman" w:hAnsi="Times New Roman"/>
          <w:b/>
          <w:i/>
          <w:sz w:val="24"/>
        </w:rPr>
        <w:t>6.3  Comparison with Baselines</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2268"/>
            <w:shd w:val="clear" w:color="auto" w:fill="BFBFBF"/>
          </w:tcPr>
          <w:p>
            <w:pPr>
              <w:jc w:val="center"/>
            </w:pPr>
            <w:r>
              <w:rPr>
                <w:rFonts w:ascii="Times New Roman" w:hAnsi="Times New Roman"/>
                <w:b/>
                <w:sz w:val="22"/>
              </w:rPr>
              <w:t>Method</w:t>
            </w:r>
          </w:p>
        </w:tc>
        <w:tc>
          <w:tcPr>
            <w:tcW w:type="dxa" w:w="1417"/>
            <w:shd w:val="clear" w:color="auto" w:fill="BFBFBF"/>
          </w:tcPr>
          <w:p>
            <w:pPr>
              <w:jc w:val="center"/>
            </w:pPr>
            <w:r>
              <w:rPr>
                <w:rFonts w:ascii="Times New Roman" w:hAnsi="Times New Roman"/>
                <w:b/>
                <w:sz w:val="22"/>
              </w:rPr>
              <w:t>ROC-AUC</w:t>
            </w:r>
          </w:p>
        </w:tc>
        <w:tc>
          <w:tcPr>
            <w:tcW w:type="dxa" w:w="1417"/>
            <w:shd w:val="clear" w:color="auto" w:fill="BFBFBF"/>
          </w:tcPr>
          <w:p>
            <w:pPr>
              <w:jc w:val="center"/>
            </w:pPr>
            <w:r>
              <w:rPr>
                <w:rFonts w:ascii="Times New Roman" w:hAnsi="Times New Roman"/>
                <w:b/>
                <w:sz w:val="22"/>
              </w:rPr>
              <w:t>PR-AUC</w:t>
            </w:r>
          </w:p>
        </w:tc>
        <w:tc>
          <w:tcPr>
            <w:tcW w:type="dxa" w:w="1417"/>
            <w:shd w:val="clear" w:color="auto" w:fill="BFBFBF"/>
          </w:tcPr>
          <w:p>
            <w:pPr>
              <w:jc w:val="center"/>
            </w:pPr>
            <w:r>
              <w:rPr>
                <w:rFonts w:ascii="Times New Roman" w:hAnsi="Times New Roman"/>
                <w:b/>
                <w:sz w:val="22"/>
              </w:rPr>
              <w:t>F1</w:t>
            </w:r>
          </w:p>
        </w:tc>
        <w:tc>
          <w:tcPr>
            <w:tcW w:type="dxa" w:w="1701"/>
            <w:shd w:val="clear" w:color="auto" w:fill="BFBFBF"/>
          </w:tcPr>
          <w:p>
            <w:pPr>
              <w:jc w:val="center"/>
            </w:pPr>
            <w:r>
              <w:rPr>
                <w:rFonts w:ascii="Times New Roman" w:hAnsi="Times New Roman"/>
                <w:b/>
                <w:sz w:val="22"/>
              </w:rPr>
              <w:t>Causal?</w:t>
            </w:r>
          </w:p>
        </w:tc>
      </w:tr>
      <w:tr>
        <w:tc>
          <w:tcPr>
            <w:tcW w:type="dxa" w:w="2268"/>
          </w:tcPr>
          <w:p>
            <w:pPr>
              <w:jc w:val="center"/>
            </w:pPr>
            <w:r>
              <w:rPr>
                <w:rFonts w:ascii="Times New Roman" w:hAnsi="Times New Roman"/>
                <w:sz w:val="22"/>
              </w:rPr>
              <w:t>ResidMag</w:t>
            </w:r>
          </w:p>
        </w:tc>
        <w:tc>
          <w:tcPr>
            <w:tcW w:type="dxa" w:w="1417"/>
          </w:tcPr>
          <w:p>
            <w:pPr>
              <w:jc w:val="center"/>
            </w:pPr>
            <w:r>
              <w:rPr>
                <w:rFonts w:ascii="Times New Roman" w:hAnsi="Times New Roman"/>
                <w:sz w:val="22"/>
              </w:rPr>
              <w:t>0.562</w:t>
            </w:r>
          </w:p>
        </w:tc>
        <w:tc>
          <w:tcPr>
            <w:tcW w:type="dxa" w:w="1417"/>
          </w:tcPr>
          <w:p>
            <w:pPr>
              <w:jc w:val="center"/>
            </w:pPr>
            <w:r>
              <w:rPr>
                <w:rFonts w:ascii="Times New Roman" w:hAnsi="Times New Roman"/>
                <w:sz w:val="22"/>
              </w:rPr>
              <w:t>0.050</w:t>
            </w:r>
          </w:p>
        </w:tc>
        <w:tc>
          <w:tcPr>
            <w:tcW w:type="dxa" w:w="1417"/>
          </w:tcPr>
          <w:p>
            <w:pPr>
              <w:jc w:val="center"/>
            </w:pPr>
            <w:r>
              <w:rPr>
                <w:rFonts w:ascii="Times New Roman" w:hAnsi="Times New Roman"/>
                <w:sz w:val="22"/>
              </w:rPr>
              <w:t>0.106</w:t>
            </w:r>
          </w:p>
        </w:tc>
        <w:tc>
          <w:tcPr>
            <w:tcW w:type="dxa" w:w="1701"/>
          </w:tcPr>
          <w:p>
            <w:pPr>
              <w:jc w:val="center"/>
            </w:pPr>
            <w:r>
              <w:rPr>
                <w:rFonts w:ascii="Times New Roman" w:hAnsi="Times New Roman"/>
                <w:sz w:val="22"/>
              </w:rPr>
              <w:t>Yes</w:t>
            </w:r>
          </w:p>
        </w:tc>
      </w:tr>
      <w:tr>
        <w:tc>
          <w:tcPr>
            <w:tcW w:type="dxa" w:w="2268"/>
          </w:tcPr>
          <w:p>
            <w:pPr>
              <w:jc w:val="center"/>
            </w:pPr>
            <w:r>
              <w:rPr>
                <w:rFonts w:ascii="Times New Roman" w:hAnsi="Times New Roman"/>
                <w:sz w:val="22"/>
              </w:rPr>
              <w:t>RollingZ</w:t>
            </w:r>
          </w:p>
        </w:tc>
        <w:tc>
          <w:tcPr>
            <w:tcW w:type="dxa" w:w="1417"/>
          </w:tcPr>
          <w:p>
            <w:pPr>
              <w:jc w:val="center"/>
            </w:pPr>
            <w:r>
              <w:rPr>
                <w:rFonts w:ascii="Times New Roman" w:hAnsi="Times New Roman"/>
                <w:sz w:val="22"/>
              </w:rPr>
              <w:t>0.505</w:t>
            </w:r>
          </w:p>
        </w:tc>
        <w:tc>
          <w:tcPr>
            <w:tcW w:type="dxa" w:w="1417"/>
          </w:tcPr>
          <w:p>
            <w:pPr>
              <w:jc w:val="center"/>
            </w:pPr>
            <w:r>
              <w:rPr>
                <w:rFonts w:ascii="Times New Roman" w:hAnsi="Times New Roman"/>
                <w:sz w:val="22"/>
              </w:rPr>
              <w:t>0.050</w:t>
            </w:r>
          </w:p>
        </w:tc>
        <w:tc>
          <w:tcPr>
            <w:tcW w:type="dxa" w:w="1417"/>
          </w:tcPr>
          <w:p>
            <w:pPr>
              <w:jc w:val="center"/>
            </w:pPr>
            <w:r>
              <w:rPr>
                <w:rFonts w:ascii="Times New Roman" w:hAnsi="Times New Roman"/>
                <w:sz w:val="22"/>
              </w:rPr>
              <w:t>0.094</w:t>
            </w:r>
          </w:p>
        </w:tc>
        <w:tc>
          <w:tcPr>
            <w:tcW w:type="dxa" w:w="1701"/>
          </w:tcPr>
          <w:p>
            <w:pPr>
              <w:jc w:val="center"/>
            </w:pPr>
            <w:r>
              <w:rPr>
                <w:rFonts w:ascii="Times New Roman" w:hAnsi="Times New Roman"/>
                <w:sz w:val="22"/>
              </w:rPr>
              <w:t>Yes</w:t>
            </w:r>
          </w:p>
        </w:tc>
      </w:tr>
      <w:tr>
        <w:tc>
          <w:tcPr>
            <w:tcW w:type="dxa" w:w="2268"/>
          </w:tcPr>
          <w:p>
            <w:pPr>
              <w:jc w:val="center"/>
            </w:pPr>
            <w:r>
              <w:rPr>
                <w:rFonts w:ascii="Times New Roman" w:hAnsi="Times New Roman"/>
                <w:sz w:val="22"/>
              </w:rPr>
              <w:t>IsolationForest</w:t>
            </w:r>
          </w:p>
        </w:tc>
        <w:tc>
          <w:tcPr>
            <w:tcW w:type="dxa" w:w="1417"/>
          </w:tcPr>
          <w:p>
            <w:pPr>
              <w:jc w:val="center"/>
            </w:pPr>
            <w:r>
              <w:rPr>
                <w:rFonts w:ascii="Times New Roman" w:hAnsi="Times New Roman"/>
                <w:sz w:val="22"/>
              </w:rPr>
              <w:t>0.575</w:t>
            </w:r>
          </w:p>
        </w:tc>
        <w:tc>
          <w:tcPr>
            <w:tcW w:type="dxa" w:w="1417"/>
          </w:tcPr>
          <w:p>
            <w:pPr>
              <w:jc w:val="center"/>
            </w:pPr>
            <w:r>
              <w:rPr>
                <w:rFonts w:ascii="Times New Roman" w:hAnsi="Times New Roman"/>
                <w:sz w:val="22"/>
              </w:rPr>
              <w:t>0.122</w:t>
            </w:r>
          </w:p>
        </w:tc>
        <w:tc>
          <w:tcPr>
            <w:tcW w:type="dxa" w:w="1417"/>
          </w:tcPr>
          <w:p>
            <w:pPr>
              <w:jc w:val="center"/>
            </w:pPr>
            <w:r>
              <w:rPr>
                <w:rFonts w:ascii="Times New Roman" w:hAnsi="Times New Roman"/>
                <w:sz w:val="22"/>
              </w:rPr>
              <w:t>0.201</w:t>
            </w:r>
          </w:p>
        </w:tc>
        <w:tc>
          <w:tcPr>
            <w:tcW w:type="dxa" w:w="1701"/>
          </w:tcPr>
          <w:p>
            <w:pPr>
              <w:jc w:val="center"/>
            </w:pPr>
            <w:r>
              <w:rPr>
                <w:rFonts w:ascii="Times New Roman" w:hAnsi="Times New Roman"/>
                <w:sz w:val="22"/>
              </w:rPr>
              <w:t>No (non-causal batch)</w:t>
            </w:r>
          </w:p>
        </w:tc>
      </w:tr>
      <w:tr>
        <w:tc>
          <w:tcPr>
            <w:tcW w:type="dxa" w:w="2268"/>
          </w:tcPr>
          <w:p>
            <w:pPr>
              <w:jc w:val="center"/>
            </w:pPr>
            <w:r>
              <w:rPr>
                <w:rFonts w:ascii="Times New Roman" w:hAnsi="Times New Roman"/>
                <w:sz w:val="22"/>
              </w:rPr>
              <w:t>OrbitGNN (this invention)</w:t>
            </w:r>
          </w:p>
        </w:tc>
        <w:tc>
          <w:tcPr>
            <w:tcW w:type="dxa" w:w="1417"/>
          </w:tcPr>
          <w:p>
            <w:pPr>
              <w:jc w:val="center"/>
            </w:pPr>
            <w:r>
              <w:rPr>
                <w:rFonts w:ascii="Times New Roman" w:hAnsi="Times New Roman"/>
                <w:sz w:val="22"/>
              </w:rPr>
              <w:t>0.587±0.010</w:t>
            </w:r>
          </w:p>
        </w:tc>
        <w:tc>
          <w:tcPr>
            <w:tcW w:type="dxa" w:w="1417"/>
          </w:tcPr>
          <w:p>
            <w:pPr>
              <w:jc w:val="center"/>
            </w:pPr>
            <w:r>
              <w:rPr>
                <w:rFonts w:ascii="Times New Roman" w:hAnsi="Times New Roman"/>
                <w:sz w:val="22"/>
              </w:rPr>
              <w:t>0.082±0.006</w:t>
            </w:r>
          </w:p>
        </w:tc>
        <w:tc>
          <w:tcPr>
            <w:tcW w:type="dxa" w:w="1417"/>
          </w:tcPr>
          <w:p>
            <w:pPr>
              <w:jc w:val="center"/>
            </w:pPr>
            <w:r>
              <w:rPr>
                <w:rFonts w:ascii="Times New Roman" w:hAnsi="Times New Roman"/>
                <w:sz w:val="22"/>
              </w:rPr>
              <w:t>0.187±0.010</w:t>
            </w:r>
          </w:p>
        </w:tc>
        <w:tc>
          <w:tcPr>
            <w:tcW w:type="dxa" w:w="1701"/>
          </w:tcPr>
          <w:p>
            <w:pPr>
              <w:jc w:val="center"/>
            </w:pPr>
            <w:r>
              <w:rPr>
                <w:rFonts w:ascii="Times New Roman" w:hAnsi="Times New Roman"/>
                <w:sz w:val="22"/>
              </w:rPr>
              <w:t>Yes</w:t>
            </w:r>
          </w:p>
        </w:tc>
      </w:tr>
    </w:tbl>
    <w:p/>
    <w:p>
      <w:pPr>
        <w:spacing w:line="480" w:lineRule="auto" w:before="0" w:after="0"/>
        <w:ind w:left="0"/>
        <w:jc w:val="both"/>
      </w:pPr>
      <w:r>
        <w:rPr>
          <w:rFonts w:ascii="Times New Roman" w:hAnsi="Times New Roman"/>
          <w:b w:val="0"/>
          <w:i w:val="0"/>
          <w:sz w:val="24"/>
        </w:rPr>
        <w:t>Statistical significance: OrbitGNN vs ResidMag: p=0.0084, Cohen's d=2.16 (large effect). OrbitGNN vs RollingZ: p&lt;0.001, Cohen's d=7.03 (very large effect). OrbitGNN significantly outperforms all causal baselines.</w:t>
      </w:r>
    </w:p>
    <w:p>
      <w:pPr>
        <w:spacing w:before="240" w:after="80"/>
      </w:pPr>
      <w:r>
        <w:rPr>
          <w:rFonts w:ascii="Times New Roman" w:hAnsi="Times New Roman"/>
          <w:b/>
          <w:i/>
          <w:sz w:val="24"/>
        </w:rPr>
        <w:t>6.4  Event-Level Detection Rate (±72 hours)</w:t>
      </w:r>
    </w:p>
    <w:tbl>
      <w:tblPr>
        <w:tblStyle w:val="TableGrid"/>
        <w:tblW w:type="auto" w:w="0"/>
        <w:tblLook w:firstColumn="1" w:firstRow="1" w:lastColumn="0" w:lastRow="0" w:noHBand="0" w:noVBand="1" w:val="04A0"/>
      </w:tblPr>
      <w:tblGrid>
        <w:gridCol w:w="2740"/>
        <w:gridCol w:w="2740"/>
        <w:gridCol w:w="2740"/>
      </w:tblGrid>
      <w:tr>
        <w:tc>
          <w:tcPr>
            <w:tcW w:type="dxa" w:w="2835"/>
            <w:shd w:val="clear" w:color="auto" w:fill="BFBFBF"/>
          </w:tcPr>
          <w:p>
            <w:pPr>
              <w:jc w:val="center"/>
            </w:pPr>
            <w:r>
              <w:rPr>
                <w:rFonts w:ascii="Times New Roman" w:hAnsi="Times New Roman"/>
                <w:b/>
                <w:sz w:val="22"/>
              </w:rPr>
              <w:t>Tolerance Window</w:t>
            </w:r>
          </w:p>
        </w:tc>
        <w:tc>
          <w:tcPr>
            <w:tcW w:type="dxa" w:w="2835"/>
            <w:shd w:val="clear" w:color="auto" w:fill="BFBFBF"/>
          </w:tcPr>
          <w:p>
            <w:pPr>
              <w:jc w:val="center"/>
            </w:pPr>
            <w:r>
              <w:rPr>
                <w:rFonts w:ascii="Times New Roman" w:hAnsi="Times New Roman"/>
                <w:b/>
                <w:sz w:val="22"/>
              </w:rPr>
              <w:t>Detection Rate</w:t>
            </w:r>
          </w:p>
        </w:tc>
        <w:tc>
          <w:tcPr>
            <w:tcW w:type="dxa" w:w="2835"/>
            <w:shd w:val="clear" w:color="auto" w:fill="BFBFBF"/>
          </w:tcPr>
          <w:p>
            <w:pPr>
              <w:jc w:val="center"/>
            </w:pPr>
            <w:r>
              <w:rPr>
                <w:rFonts w:ascii="Times New Roman" w:hAnsi="Times New Roman"/>
                <w:b/>
                <w:sz w:val="22"/>
              </w:rPr>
              <w:t>False Alarms / Day</w:t>
            </w:r>
          </w:p>
        </w:tc>
      </w:tr>
      <w:tr>
        <w:tc>
          <w:tcPr>
            <w:tcW w:type="dxa" w:w="2835"/>
          </w:tcPr>
          <w:p>
            <w:pPr>
              <w:jc w:val="center"/>
            </w:pPr>
            <w:r>
              <w:rPr>
                <w:rFonts w:ascii="Times New Roman" w:hAnsi="Times New Roman"/>
                <w:sz w:val="22"/>
              </w:rPr>
              <w:t>±24 h</w:t>
            </w:r>
          </w:p>
        </w:tc>
        <w:tc>
          <w:tcPr>
            <w:tcW w:type="dxa" w:w="2835"/>
          </w:tcPr>
          <w:p>
            <w:pPr>
              <w:jc w:val="center"/>
            </w:pPr>
            <w:r>
              <w:rPr>
                <w:rFonts w:ascii="Times New Roman" w:hAnsi="Times New Roman"/>
                <w:sz w:val="22"/>
              </w:rPr>
              <w:t>39.3% ± 3.3%</w:t>
            </w:r>
          </w:p>
        </w:tc>
        <w:tc>
          <w:tcPr>
            <w:tcW w:type="dxa" w:w="2835"/>
          </w:tcPr>
          <w:p>
            <w:pPr>
              <w:jc w:val="center"/>
            </w:pPr>
            <w:r>
              <w:rPr>
                <w:rFonts w:ascii="Times New Roman" w:hAnsi="Times New Roman"/>
                <w:sz w:val="22"/>
              </w:rPr>
              <w:t>0.29</w:t>
            </w:r>
          </w:p>
        </w:tc>
      </w:tr>
      <w:tr>
        <w:tc>
          <w:tcPr>
            <w:tcW w:type="dxa" w:w="2835"/>
          </w:tcPr>
          <w:p>
            <w:pPr>
              <w:jc w:val="center"/>
            </w:pPr>
            <w:r>
              <w:rPr>
                <w:rFonts w:ascii="Times New Roman" w:hAnsi="Times New Roman"/>
                <w:sz w:val="22"/>
              </w:rPr>
              <w:t>±48 h</w:t>
            </w:r>
          </w:p>
        </w:tc>
        <w:tc>
          <w:tcPr>
            <w:tcW w:type="dxa" w:w="2835"/>
          </w:tcPr>
          <w:p>
            <w:pPr>
              <w:jc w:val="center"/>
            </w:pPr>
            <w:r>
              <w:rPr>
                <w:rFonts w:ascii="Times New Roman" w:hAnsi="Times New Roman"/>
                <w:sz w:val="22"/>
              </w:rPr>
              <w:t>51.3% ± 7.5%</w:t>
            </w:r>
          </w:p>
        </w:tc>
        <w:tc>
          <w:tcPr>
            <w:tcW w:type="dxa" w:w="2835"/>
          </w:tcPr>
          <w:p>
            <w:pPr>
              <w:jc w:val="center"/>
            </w:pPr>
            <w:r>
              <w:rPr>
                <w:rFonts w:ascii="Times New Roman" w:hAnsi="Times New Roman"/>
                <w:sz w:val="22"/>
              </w:rPr>
              <w:t>0.27</w:t>
            </w:r>
          </w:p>
        </w:tc>
      </w:tr>
      <w:tr>
        <w:tc>
          <w:tcPr>
            <w:tcW w:type="dxa" w:w="2835"/>
          </w:tcPr>
          <w:p>
            <w:pPr>
              <w:jc w:val="center"/>
            </w:pPr>
            <w:r>
              <w:rPr>
                <w:rFonts w:ascii="Times New Roman" w:hAnsi="Times New Roman"/>
                <w:sz w:val="22"/>
              </w:rPr>
              <w:t>±72 h</w:t>
            </w:r>
          </w:p>
        </w:tc>
        <w:tc>
          <w:tcPr>
            <w:tcW w:type="dxa" w:w="2835"/>
          </w:tcPr>
          <w:p>
            <w:pPr>
              <w:jc w:val="center"/>
            </w:pPr>
            <w:r>
              <w:rPr>
                <w:rFonts w:ascii="Times New Roman" w:hAnsi="Times New Roman"/>
                <w:sz w:val="22"/>
              </w:rPr>
              <w:t>61.3% ± 8.6%</w:t>
            </w:r>
          </w:p>
        </w:tc>
        <w:tc>
          <w:tcPr>
            <w:tcW w:type="dxa" w:w="2835"/>
          </w:tcPr>
          <w:p>
            <w:pPr>
              <w:jc w:val="center"/>
            </w:pPr>
            <w:r>
              <w:rPr>
                <w:rFonts w:ascii="Times New Roman" w:hAnsi="Times New Roman"/>
                <w:sz w:val="22"/>
              </w:rPr>
              <w:t>0.24</w:t>
            </w:r>
          </w:p>
        </w:tc>
      </w:tr>
    </w:tbl>
    <w:p/>
    <w:p>
      <w:pPr>
        <w:spacing w:before="240" w:after="80"/>
      </w:pPr>
      <w:r>
        <w:rPr>
          <w:rFonts w:ascii="Times New Roman" w:hAnsi="Times New Roman"/>
          <w:b/>
          <w:i/>
          <w:sz w:val="24"/>
        </w:rPr>
        <w:t>6.5  ΔV Estimates for Test-Split Manoeuvres</w:t>
      </w:r>
    </w:p>
    <w:tbl>
      <w:tblPr>
        <w:tblStyle w:val="TableGrid"/>
        <w:tblW w:type="auto" w:w="0"/>
        <w:tblLook w:firstColumn="1" w:firstRow="1" w:lastColumn="0" w:lastRow="0" w:noHBand="0" w:noVBand="1" w:val="04A0"/>
      </w:tblPr>
      <w:tblGrid>
        <w:gridCol w:w="2055"/>
        <w:gridCol w:w="2055"/>
        <w:gridCol w:w="2055"/>
        <w:gridCol w:w="2055"/>
      </w:tblGrid>
      <w:tr>
        <w:tc>
          <w:tcPr>
            <w:tcW w:type="dxa" w:w="1984"/>
            <w:shd w:val="clear" w:color="auto" w:fill="BFBFBF"/>
          </w:tcPr>
          <w:p>
            <w:pPr>
              <w:jc w:val="center"/>
            </w:pPr>
            <w:r>
              <w:rPr>
                <w:rFonts w:ascii="Times New Roman" w:hAnsi="Times New Roman"/>
                <w:b/>
                <w:sz w:val="22"/>
              </w:rPr>
              <w:t>Satellite</w:t>
            </w:r>
          </w:p>
        </w:tc>
        <w:tc>
          <w:tcPr>
            <w:tcW w:type="dxa" w:w="1984"/>
            <w:shd w:val="clear" w:color="auto" w:fill="BFBFBF"/>
          </w:tcPr>
          <w:p>
            <w:pPr>
              <w:jc w:val="center"/>
            </w:pPr>
            <w:r>
              <w:rPr>
                <w:rFonts w:ascii="Times New Roman" w:hAnsi="Times New Roman"/>
                <w:b/>
                <w:sz w:val="22"/>
              </w:rPr>
              <w:t>Manoeuvre Date</w:t>
            </w:r>
          </w:p>
        </w:tc>
        <w:tc>
          <w:tcPr>
            <w:tcW w:type="dxa" w:w="1984"/>
            <w:shd w:val="clear" w:color="auto" w:fill="BFBFBF"/>
          </w:tcPr>
          <w:p>
            <w:pPr>
              <w:jc w:val="center"/>
            </w:pPr>
            <w:r>
              <w:rPr>
                <w:rFonts w:ascii="Times New Roman" w:hAnsi="Times New Roman"/>
                <w:b/>
                <w:sz w:val="22"/>
              </w:rPr>
              <w:t>|Δa| (km)</w:t>
            </w:r>
          </w:p>
        </w:tc>
        <w:tc>
          <w:tcPr>
            <w:tcW w:type="dxa" w:w="2268"/>
            <w:shd w:val="clear" w:color="auto" w:fill="BFBFBF"/>
          </w:tcPr>
          <w:p>
            <w:pPr>
              <w:jc w:val="center"/>
            </w:pPr>
            <w:r>
              <w:rPr>
                <w:rFonts w:ascii="Times New Roman" w:hAnsi="Times New Roman"/>
                <w:b/>
                <w:sz w:val="22"/>
              </w:rPr>
              <w:t>ΔV Estimate (m/s)</w:t>
            </w:r>
          </w:p>
        </w:tc>
      </w:tr>
      <w:tr>
        <w:tc>
          <w:tcPr>
            <w:tcW w:type="dxa" w:w="1984"/>
          </w:tcPr>
          <w:p>
            <w:pPr>
              <w:jc w:val="center"/>
            </w:pPr>
            <w:r>
              <w:rPr>
                <w:rFonts w:ascii="Times New Roman" w:hAnsi="Times New Roman"/>
                <w:sz w:val="22"/>
              </w:rPr>
              <w:t>Fengyun-2F</w:t>
            </w:r>
          </w:p>
        </w:tc>
        <w:tc>
          <w:tcPr>
            <w:tcW w:type="dxa" w:w="1984"/>
          </w:tcPr>
          <w:p>
            <w:pPr>
              <w:jc w:val="center"/>
            </w:pPr>
            <w:r>
              <w:rPr>
                <w:rFonts w:ascii="Times New Roman" w:hAnsi="Times New Roman"/>
                <w:sz w:val="22"/>
              </w:rPr>
              <w:t>2021-08-04</w:t>
            </w:r>
          </w:p>
        </w:tc>
        <w:tc>
          <w:tcPr>
            <w:tcW w:type="dxa" w:w="1984"/>
          </w:tcPr>
          <w:p>
            <w:pPr>
              <w:jc w:val="center"/>
            </w:pPr>
            <w:r>
              <w:rPr>
                <w:rFonts w:ascii="Times New Roman" w:hAnsi="Times New Roman"/>
                <w:sz w:val="22"/>
              </w:rPr>
              <w:t>0.196</w:t>
            </w:r>
          </w:p>
        </w:tc>
        <w:tc>
          <w:tcPr>
            <w:tcW w:type="dxa" w:w="2268"/>
          </w:tcPr>
          <w:p>
            <w:pPr>
              <w:jc w:val="center"/>
            </w:pPr>
            <w:r>
              <w:rPr>
                <w:rFonts w:ascii="Times New Roman" w:hAnsi="Times New Roman"/>
                <w:sz w:val="22"/>
              </w:rPr>
              <w:t>0.007</w:t>
            </w:r>
          </w:p>
        </w:tc>
      </w:tr>
      <w:tr>
        <w:tc>
          <w:tcPr>
            <w:tcW w:type="dxa" w:w="1984"/>
          </w:tcPr>
          <w:p>
            <w:pPr>
              <w:jc w:val="center"/>
            </w:pPr>
            <w:r>
              <w:rPr>
                <w:rFonts w:ascii="Times New Roman" w:hAnsi="Times New Roman"/>
                <w:sz w:val="22"/>
              </w:rPr>
              <w:t>Fengyun-2F</w:t>
            </w:r>
          </w:p>
        </w:tc>
        <w:tc>
          <w:tcPr>
            <w:tcW w:type="dxa" w:w="1984"/>
          </w:tcPr>
          <w:p>
            <w:pPr>
              <w:jc w:val="center"/>
            </w:pPr>
            <w:r>
              <w:rPr>
                <w:rFonts w:ascii="Times New Roman" w:hAnsi="Times New Roman"/>
                <w:sz w:val="22"/>
              </w:rPr>
              <w:t>2021-09-22</w:t>
            </w:r>
          </w:p>
        </w:tc>
        <w:tc>
          <w:tcPr>
            <w:tcW w:type="dxa" w:w="1984"/>
          </w:tcPr>
          <w:p>
            <w:pPr>
              <w:jc w:val="center"/>
            </w:pPr>
            <w:r>
              <w:rPr>
                <w:rFonts w:ascii="Times New Roman" w:hAnsi="Times New Roman"/>
                <w:sz w:val="22"/>
              </w:rPr>
              <w:t>0.266</w:t>
            </w:r>
          </w:p>
        </w:tc>
        <w:tc>
          <w:tcPr>
            <w:tcW w:type="dxa" w:w="2268"/>
          </w:tcPr>
          <w:p>
            <w:pPr>
              <w:jc w:val="center"/>
            </w:pPr>
            <w:r>
              <w:rPr>
                <w:rFonts w:ascii="Times New Roman" w:hAnsi="Times New Roman"/>
                <w:sz w:val="22"/>
              </w:rPr>
              <w:t>0.010</w:t>
            </w:r>
          </w:p>
        </w:tc>
      </w:tr>
      <w:tr>
        <w:tc>
          <w:tcPr>
            <w:tcW w:type="dxa" w:w="1984"/>
          </w:tcPr>
          <w:p>
            <w:pPr>
              <w:jc w:val="center"/>
            </w:pPr>
            <w:r>
              <w:rPr>
                <w:rFonts w:ascii="Times New Roman" w:hAnsi="Times New Roman"/>
                <w:sz w:val="22"/>
              </w:rPr>
              <w:t>Fengyun-4A</w:t>
            </w:r>
          </w:p>
        </w:tc>
        <w:tc>
          <w:tcPr>
            <w:tcW w:type="dxa" w:w="1984"/>
          </w:tcPr>
          <w:p>
            <w:pPr>
              <w:jc w:val="center"/>
            </w:pPr>
            <w:r>
              <w:rPr>
                <w:rFonts w:ascii="Times New Roman" w:hAnsi="Times New Roman"/>
                <w:sz w:val="22"/>
              </w:rPr>
              <w:t>2021-08-20</w:t>
            </w:r>
          </w:p>
        </w:tc>
        <w:tc>
          <w:tcPr>
            <w:tcW w:type="dxa" w:w="1984"/>
          </w:tcPr>
          <w:p>
            <w:pPr>
              <w:jc w:val="center"/>
            </w:pPr>
            <w:r>
              <w:rPr>
                <w:rFonts w:ascii="Times New Roman" w:hAnsi="Times New Roman"/>
                <w:sz w:val="22"/>
              </w:rPr>
              <w:t>0.091</w:t>
            </w:r>
          </w:p>
        </w:tc>
        <w:tc>
          <w:tcPr>
            <w:tcW w:type="dxa" w:w="2268"/>
          </w:tcPr>
          <w:p>
            <w:pPr>
              <w:jc w:val="center"/>
            </w:pPr>
            <w:r>
              <w:rPr>
                <w:rFonts w:ascii="Times New Roman" w:hAnsi="Times New Roman"/>
                <w:sz w:val="22"/>
              </w:rPr>
              <w:t>0.003</w:t>
            </w:r>
          </w:p>
        </w:tc>
      </w:tr>
      <w:tr>
        <w:tc>
          <w:tcPr>
            <w:tcW w:type="dxa" w:w="1984"/>
          </w:tcPr>
          <w:p>
            <w:pPr>
              <w:jc w:val="center"/>
            </w:pPr>
            <w:r>
              <w:rPr>
                <w:rFonts w:ascii="Times New Roman" w:hAnsi="Times New Roman"/>
                <w:sz w:val="22"/>
              </w:rPr>
              <w:t>Fengyun-4A</w:t>
            </w:r>
          </w:p>
        </w:tc>
        <w:tc>
          <w:tcPr>
            <w:tcW w:type="dxa" w:w="1984"/>
          </w:tcPr>
          <w:p>
            <w:pPr>
              <w:jc w:val="center"/>
            </w:pPr>
            <w:r>
              <w:rPr>
                <w:rFonts w:ascii="Times New Roman" w:hAnsi="Times New Roman"/>
                <w:sz w:val="22"/>
              </w:rPr>
              <w:t>2021-09-21</w:t>
            </w:r>
          </w:p>
        </w:tc>
        <w:tc>
          <w:tcPr>
            <w:tcW w:type="dxa" w:w="1984"/>
          </w:tcPr>
          <w:p>
            <w:pPr>
              <w:jc w:val="center"/>
            </w:pPr>
            <w:r>
              <w:rPr>
                <w:rFonts w:ascii="Times New Roman" w:hAnsi="Times New Roman"/>
                <w:sz w:val="22"/>
              </w:rPr>
              <w:t>0.192</w:t>
            </w:r>
          </w:p>
        </w:tc>
        <w:tc>
          <w:tcPr>
            <w:tcW w:type="dxa" w:w="2268"/>
          </w:tcPr>
          <w:p>
            <w:pPr>
              <w:jc w:val="center"/>
            </w:pPr>
            <w:r>
              <w:rPr>
                <w:rFonts w:ascii="Times New Roman" w:hAnsi="Times New Roman"/>
                <w:sz w:val="22"/>
              </w:rPr>
              <w:t>0.007</w:t>
            </w:r>
          </w:p>
        </w:tc>
      </w:tr>
      <w:tr>
        <w:tc>
          <w:tcPr>
            <w:tcW w:type="dxa" w:w="1984"/>
          </w:tcPr>
          <w:p>
            <w:pPr>
              <w:jc w:val="center"/>
            </w:pPr>
            <w:r>
              <w:rPr>
                <w:rFonts w:ascii="Times New Roman" w:hAnsi="Times New Roman"/>
                <w:sz w:val="22"/>
              </w:rPr>
              <w:t>Fengyun-4A</w:t>
            </w:r>
          </w:p>
        </w:tc>
        <w:tc>
          <w:tcPr>
            <w:tcW w:type="dxa" w:w="1984"/>
          </w:tcPr>
          <w:p>
            <w:pPr>
              <w:jc w:val="center"/>
            </w:pPr>
            <w:r>
              <w:rPr>
                <w:rFonts w:ascii="Times New Roman" w:hAnsi="Times New Roman"/>
                <w:sz w:val="22"/>
              </w:rPr>
              <w:t>2021-11-12</w:t>
            </w:r>
          </w:p>
        </w:tc>
        <w:tc>
          <w:tcPr>
            <w:tcW w:type="dxa" w:w="1984"/>
          </w:tcPr>
          <w:p>
            <w:pPr>
              <w:jc w:val="center"/>
            </w:pPr>
            <w:r>
              <w:rPr>
                <w:rFonts w:ascii="Times New Roman" w:hAnsi="Times New Roman"/>
                <w:sz w:val="22"/>
              </w:rPr>
              <w:t>0.267</w:t>
            </w:r>
          </w:p>
        </w:tc>
        <w:tc>
          <w:tcPr>
            <w:tcW w:type="dxa" w:w="2268"/>
          </w:tcPr>
          <w:p>
            <w:pPr>
              <w:jc w:val="center"/>
            </w:pPr>
            <w:r>
              <w:rPr>
                <w:rFonts w:ascii="Times New Roman" w:hAnsi="Times New Roman"/>
                <w:sz w:val="22"/>
              </w:rPr>
              <w:t>0.010</w:t>
            </w:r>
          </w:p>
        </w:tc>
      </w:tr>
      <w:tr>
        <w:tc>
          <w:tcPr>
            <w:tcW w:type="dxa" w:w="1984"/>
          </w:tcPr>
          <w:p>
            <w:pPr>
              <w:jc w:val="center"/>
            </w:pPr>
            <w:r>
              <w:rPr>
                <w:rFonts w:ascii="Times New Roman" w:hAnsi="Times New Roman"/>
                <w:sz w:val="22"/>
              </w:rPr>
              <w:t>Sentinel-3A</w:t>
            </w:r>
          </w:p>
        </w:tc>
        <w:tc>
          <w:tcPr>
            <w:tcW w:type="dxa" w:w="1984"/>
          </w:tcPr>
          <w:p>
            <w:pPr>
              <w:jc w:val="center"/>
            </w:pPr>
            <w:r>
              <w:rPr>
                <w:rFonts w:ascii="Times New Roman" w:hAnsi="Times New Roman"/>
                <w:sz w:val="22"/>
              </w:rPr>
              <w:t>2021-09-15</w:t>
            </w:r>
          </w:p>
        </w:tc>
        <w:tc>
          <w:tcPr>
            <w:tcW w:type="dxa" w:w="1984"/>
          </w:tcPr>
          <w:p>
            <w:pPr>
              <w:jc w:val="center"/>
            </w:pPr>
            <w:r>
              <w:rPr>
                <w:rFonts w:ascii="Times New Roman" w:hAnsi="Times New Roman"/>
                <w:sz w:val="22"/>
              </w:rPr>
              <w:t>0.031</w:t>
            </w:r>
          </w:p>
        </w:tc>
        <w:tc>
          <w:tcPr>
            <w:tcW w:type="dxa" w:w="2268"/>
          </w:tcPr>
          <w:p>
            <w:pPr>
              <w:jc w:val="center"/>
            </w:pPr>
            <w:r>
              <w:rPr>
                <w:rFonts w:ascii="Times New Roman" w:hAnsi="Times New Roman"/>
                <w:sz w:val="22"/>
              </w:rPr>
              <w:t>0.011</w:t>
            </w:r>
          </w:p>
        </w:tc>
      </w:tr>
    </w:tbl>
    <w:p/>
    <w:p>
      <w:pPr>
        <w:spacing w:line="480" w:lineRule="auto" w:before="0" w:after="0"/>
        <w:ind w:left="0"/>
        <w:jc w:val="both"/>
      </w:pPr>
      <w:r>
        <w:rPr>
          <w:rFonts w:ascii="Times New Roman" w:hAnsi="Times New Roman"/>
          <w:b w:val="0"/>
          <w:i w:val="0"/>
          <w:sz w:val="24"/>
        </w:rPr>
        <w:t>These ΔV values are consistent with published literature on GEO station-keeping burns (0.005–0.25 m/s), validating the estimation method.</w:t>
      </w:r>
    </w:p>
    <w:p>
      <w:pPr>
        <w:spacing w:before="240" w:after="80"/>
      </w:pPr>
      <w:r>
        <w:rPr>
          <w:rFonts w:ascii="Times New Roman" w:hAnsi="Times New Roman"/>
          <w:b/>
          <w:i/>
          <w:sz w:val="24"/>
        </w:rPr>
        <w:t>6.6  Software &amp; Reproducibility</w:t>
      </w:r>
    </w:p>
    <w:p>
      <w:pPr>
        <w:spacing w:line="480" w:lineRule="auto" w:before="0" w:after="0"/>
        <w:ind w:left="0"/>
        <w:jc w:val="both"/>
      </w:pPr>
      <w:r>
        <w:rPr>
          <w:rFonts w:ascii="Times New Roman" w:hAnsi="Times New Roman"/>
          <w:b w:val="0"/>
          <w:i w:val="0"/>
          <w:sz w:val="24"/>
        </w:rPr>
        <w:t>Implementation: Python 3.11, PyTorch 2.x. Repository: https://github.com/keshavgujrathi/OrbitGNN (branch: real-tle-pipeline). 4,552 lines across 5 core modules. 157 automated unit tests — all pass. GitHub Actions CI on Python 3.10/3.11/3.12. Model: 105,100 parameters (CPU-deployable).</w:t>
      </w:r>
    </w:p>
    <w:p>
      <w:r>
        <w:br w:type="page"/>
      </w:r>
    </w:p>
    <w:p>
      <w:pPr>
        <w:spacing w:before="360" w:after="120"/>
      </w:pPr>
      <w:r>
        <w:rPr>
          <w:rFonts w:ascii="Times New Roman" w:hAnsi="Times New Roman"/>
          <w:b/>
          <w:sz w:val="24"/>
        </w:rPr>
        <w:t>7. CLAIMS</w:t>
      </w:r>
    </w:p>
    <w:p>
      <w:pPr>
        <w:spacing w:line="480" w:lineRule="auto" w:before="0" w:after="0"/>
        <w:ind w:left="0"/>
        <w:jc w:val="both"/>
      </w:pPr>
      <w:r>
        <w:rPr>
          <w:rFonts w:ascii="Times New Roman" w:hAnsi="Times New Roman"/>
          <w:b w:val="0"/>
          <w:i w:val="0"/>
          <w:sz w:val="24"/>
        </w:rPr>
        <w:t>We claim:</w:t>
      </w:r>
    </w:p>
    <w:p/>
    <w:p>
      <w:pPr>
        <w:spacing w:line="480" w:lineRule="auto" w:before="240" w:after="120"/>
      </w:pPr>
      <w:r>
        <w:rPr>
          <w:rFonts w:ascii="Times New Roman" w:hAnsi="Times New Roman"/>
          <w:b/>
          <w:sz w:val="24"/>
        </w:rPr>
        <w:t xml:space="preserve">Claim 1: </w:t>
      </w:r>
      <w:r>
        <w:rPr>
          <w:rFonts w:ascii="Times New Roman" w:hAnsi="Times New Roman"/>
          <w:sz w:val="24"/>
        </w:rPr>
        <w:t>A computer-implemented method for detecting orbital manoeuvres of Earth-orbiting satellites, the method comprising the steps of: (a) receiving Two-Line Element (TLE) records for a plurality of satellites from a public orbital data source and extracting six mean Keplerian orbital elements therefrom; (b) computing, for each satellite and each consecutive pair of TLE observations, a physics residual by propagating orbital elements forward using the actual elapsed time in seconds between the two TLE epochs via a J₂-corrected Keplerian propagation model, and computing the signed difference between the propagated and observed elements, with angular wrapping applied to angular components; (c) encoding temporal sequences of the said physics residuals using a Transformer neural network to produce a latent embedding and a self-forecast of the next residual step per satellite; (d) constructing an orbital-shell-aware adjacency graph wherein edges connect satellites within the same orbital regime using orbital element similarity, and no edges are created between satellites in different orbital regimes; (e) aggregating peer satellite embeddings via graph convolution over the said graph to produce a peer-context forecast per satellite; (f) computing, for each satellite, a composite anomaly score as the weighted sum of zero-mean unit-variance normalised self-forecast error, peer-forecast error, and Monte Carlo Dropout epistemic uncertainty, wherein the normalisation is performed across the satellite batch at each time step; and (g) classifying satellites whose anomaly score exceeds a threshold as having performed an orbital manoeuvre.</w:t>
      </w:r>
    </w:p>
    <w:p/>
    <w:p>
      <w:pPr>
        <w:spacing w:line="480" w:lineRule="auto" w:before="240" w:after="120"/>
      </w:pPr>
      <w:r>
        <w:rPr>
          <w:rFonts w:ascii="Times New Roman" w:hAnsi="Times New Roman"/>
          <w:b/>
          <w:sz w:val="24"/>
        </w:rPr>
        <w:t xml:space="preserve">Claim 2: </w:t>
      </w:r>
      <w:r>
        <w:rPr>
          <w:rFonts w:ascii="Times New Roman" w:hAnsi="Times New Roman"/>
          <w:sz w:val="24"/>
        </w:rPr>
        <w:t>The method as claimed in Claim 1, wherein step (b) uses the actual elapsed time Δt in seconds between consecutive TLE epochs as the propagation time step, computed from the difference in TLE epoch timestamps, in place of any fixed nominal time step, thereby eliminating systematic errors in the propagated mean anomaly residual arising from irregular TLE publication cadences.</w:t>
      </w:r>
    </w:p>
    <w:p/>
    <w:p>
      <w:pPr>
        <w:spacing w:line="480" w:lineRule="auto" w:before="240" w:after="120"/>
      </w:pPr>
      <w:r>
        <w:rPr>
          <w:rFonts w:ascii="Times New Roman" w:hAnsi="Times New Roman"/>
          <w:b/>
          <w:sz w:val="24"/>
        </w:rPr>
        <w:t xml:space="preserve">Claim 3: </w:t>
      </w:r>
      <w:r>
        <w:rPr>
          <w:rFonts w:ascii="Times New Roman" w:hAnsi="Times New Roman"/>
          <w:sz w:val="24"/>
        </w:rPr>
        <w:t>The method as claimed in Claim 1, wherein step (d) comprises: assigning each satellite to an orbital shell from a group comprising geostationary orbit (GEO, altitude &gt; 30,000 km), sun-synchronous orbit (SSO, altitude 600–1,000 km and inclination &gt; 88°), and low Earth orbit (LEO-66°, altitude 1,000–1,700 km and inclination 60°–70°); constructing k-nearest-neighbour edges within each shell using mean-motion similarity; and creating no edges between satellites in different shells.</w:t>
      </w:r>
    </w:p>
    <w:p/>
    <w:p>
      <w:pPr>
        <w:spacing w:line="480" w:lineRule="auto" w:before="240" w:after="120"/>
      </w:pPr>
      <w:r>
        <w:rPr>
          <w:rFonts w:ascii="Times New Roman" w:hAnsi="Times New Roman"/>
          <w:b/>
          <w:sz w:val="24"/>
        </w:rPr>
        <w:t xml:space="preserve">Claim 4: </w:t>
      </w:r>
      <w:r>
        <w:rPr>
          <w:rFonts w:ascii="Times New Roman" w:hAnsi="Times New Roman"/>
          <w:sz w:val="24"/>
        </w:rPr>
        <w:t>A method for estimating the delta-velocity of a satellite manoeuvre from publicly available Two-Line Element data without propulsion telemetry, the method comprising: detecting a manoeuvre event at time step t for a satellite k using the method of Claim 1; extracting the semi-major axis residual Δa in kilometres from the physics residual at step t; computing mean motion n = √(μ/a³) in radians per second; and estimating the tangential delta-velocity as ΔV ≈ (n·|Δa|)/2 in metres per second using the linearised Gauss variational equation for near-circular orbits.</w:t>
      </w:r>
    </w:p>
    <w:p/>
    <w:p>
      <w:pPr>
        <w:spacing w:line="480" w:lineRule="auto" w:before="240" w:after="120"/>
      </w:pPr>
      <w:r>
        <w:rPr>
          <w:rFonts w:ascii="Times New Roman" w:hAnsi="Times New Roman"/>
          <w:b/>
          <w:sz w:val="24"/>
        </w:rPr>
        <w:t xml:space="preserve">Claim 5: </w:t>
      </w:r>
      <w:r>
        <w:rPr>
          <w:rFonts w:ascii="Times New Roman" w:hAnsi="Times New Roman"/>
          <w:sz w:val="24"/>
        </w:rPr>
        <w:t>The method as claimed in Claim 1, wherein the composite anomaly score of step (f) is: score_k = w₁·z(‖y_k − ŷ^self_k‖²) + w₂·z(‖y_k − ŷ^peer_k‖²) + w₃·z(‖σ̄_k‖²), wherein z(·) denotes normalisation (x − mean) / (std + ε) across the satellite batch; ŷ^self is the Transformer encoder self-forecast; ŷ^peer is the graph convolution peer-context forecast; σ̄_k is the standard deviation over Monte Carlo Dropout samples representing epistemic uncertainty; and w₁, w₂, w₃ are positive real coefficients.</w:t>
      </w:r>
    </w:p>
    <w:p/>
    <w:p>
      <w:r>
        <w:br w:type="page"/>
      </w:r>
    </w:p>
    <w:p>
      <w:pPr>
        <w:spacing w:before="360" w:after="120"/>
      </w:pPr>
      <w:r>
        <w:rPr>
          <w:rFonts w:ascii="Times New Roman" w:hAnsi="Times New Roman"/>
          <w:b/>
          <w:sz w:val="24"/>
        </w:rPr>
        <w:t>8. ABSTRACT</w:t>
      </w:r>
    </w:p>
    <w:p>
      <w:pPr>
        <w:spacing w:line="480" w:lineRule="auto" w:before="0" w:after="0"/>
        <w:ind w:left="0"/>
        <w:jc w:val="both"/>
      </w:pPr>
      <w:r>
        <w:rPr>
          <w:rFonts w:ascii="Times New Roman" w:hAnsi="Times New Roman"/>
          <w:b w:val="0"/>
          <w:i w:val="0"/>
          <w:sz w:val="24"/>
        </w:rPr>
        <w:t>The present invention provides OrbitGNN — a physics-informed Graph Neural Network system and method for automatic satellite manoeuvre detection and delta-velocity (ΔV) estimation using only publicly available Two-Line Element (TLE) orbital data. The invention computes J₂-corrected Keplerian physics residuals using the actual inter-TLE elapsed time, encodes residual sequences via a Transformer architecture (ResidualEncoder), aggregates peer satellite context via an orbital-shell-aware Graph Convolutional Network (NeighborGCN) with no cross-regime edges, and generates per-satellite anomaly scores combining self-forecast error, peer-forecast error, and Monte Carlo Dropout uncertainty, z-normalised across the satellite batch. A novel ΔV estimator derives manoeuvre magnitude from TLE-derived semi-major axis residuals via the linearised Gauss tangential burn equation — requiring no propulsion telemetry. Validated on the real TLE Observation Benchmark Dataset (9 satellites, 2020–2022, 125 verified manoeuvre events), the invention achieves ROC-AUC 0.587 ± 0.010 and detects 61.3% ± 8.6% of manoeuvre events within ±72 hours — statistically significantly superior to residual-magnitude thresholding (p = 0.0084, Cohen's d = 2.16). The system is self-supervised (no labels required), fully causal (real-time usable), and runs on commodity hardware (105,100 parameters).</w:t>
      </w:r>
    </w:p>
    <w:p>
      <w:r>
        <w:br w:type="page"/>
      </w:r>
    </w:p>
    <w:p>
      <w:pPr>
        <w:spacing w:before="360" w:after="120"/>
      </w:pPr>
      <w:r>
        <w:rPr>
          <w:rFonts w:ascii="Times New Roman" w:hAnsi="Times New Roman"/>
          <w:b/>
          <w:sz w:val="24"/>
        </w:rPr>
        <w:t>SIGNATURES OF INVENTORS</w:t>
      </w:r>
    </w:p>
    <w:p>
      <w:pPr>
        <w:spacing w:line="480" w:lineRule="auto" w:before="0" w:after="0"/>
        <w:ind w:left="0"/>
        <w:jc w:val="both"/>
      </w:pPr>
      <w:r>
        <w:rPr>
          <w:rFonts w:ascii="Times New Roman" w:hAnsi="Times New Roman"/>
          <w:b w:val="0"/>
          <w:i w:val="0"/>
          <w:sz w:val="24"/>
        </w:rPr>
        <w:t>We, the inventors named herein, declare that the information provided in this Provisional Specification is true and correct to the best of our knowledge and belief, and that we are the true and first inventors of the invention described herein.</w:t>
      </w:r>
    </w:p>
    <w:p/>
    <w:tbl>
      <w:tblPr>
        <w:tblStyle w:val="TableGrid"/>
        <w:tblW w:type="auto" w:w="0"/>
        <w:tblLook w:firstColumn="1" w:firstRow="1" w:lastColumn="0" w:lastRow="0" w:noHBand="0" w:noVBand="1" w:val="04A0"/>
      </w:tblPr>
      <w:tblGrid>
        <w:gridCol w:w="2740"/>
        <w:gridCol w:w="2740"/>
        <w:gridCol w:w="2740"/>
      </w:tblGrid>
      <w:tr>
        <w:tc>
          <w:tcPr>
            <w:tcW w:type="dxa" w:w="2740"/>
            <w:shd w:val="clear" w:color="auto" w:fill="BFBFBF"/>
          </w:tcPr>
          <w:p>
            <w:pPr>
              <w:jc w:val="center"/>
            </w:pPr>
            <w:r>
              <w:rPr>
                <w:rFonts w:ascii="Times New Roman" w:hAnsi="Times New Roman"/>
                <w:b/>
                <w:sz w:val="24"/>
              </w:rPr>
              <w:t>FIELD</w:t>
            </w:r>
          </w:p>
        </w:tc>
        <w:tc>
          <w:tcPr>
            <w:tcW w:type="dxa" w:w="2740"/>
            <w:shd w:val="clear" w:color="auto" w:fill="BFBFBF"/>
          </w:tcPr>
          <w:p>
            <w:pPr>
              <w:jc w:val="center"/>
            </w:pPr>
            <w:r>
              <w:rPr>
                <w:rFonts w:ascii="Times New Roman" w:hAnsi="Times New Roman"/>
                <w:b/>
                <w:sz w:val="24"/>
              </w:rPr>
              <w:t>INVENTOR 1</w:t>
            </w:r>
          </w:p>
        </w:tc>
        <w:tc>
          <w:tcPr>
            <w:tcW w:type="dxa" w:w="2740"/>
            <w:shd w:val="clear" w:color="auto" w:fill="BFBFBF"/>
          </w:tcPr>
          <w:p>
            <w:pPr>
              <w:jc w:val="center"/>
            </w:pPr>
            <w:r>
              <w:rPr>
                <w:rFonts w:ascii="Times New Roman" w:hAnsi="Times New Roman"/>
                <w:b/>
                <w:sz w:val="24"/>
              </w:rPr>
              <w:t>INVENTOR 2</w:t>
            </w:r>
          </w:p>
        </w:tc>
      </w:tr>
      <w:tr>
        <w:tc>
          <w:tcPr>
            <w:tcW w:type="dxa" w:w="2740"/>
          </w:tcPr>
          <w:p>
            <w:pPr>
              <w:jc w:val="center"/>
            </w:pPr>
            <w:r>
              <w:rPr>
                <w:rFonts w:ascii="Times New Roman" w:hAnsi="Times New Roman"/>
                <w:sz w:val="24"/>
              </w:rPr>
              <w:t>Full Name</w:t>
            </w:r>
          </w:p>
        </w:tc>
        <w:tc>
          <w:tcPr>
            <w:tcW w:type="dxa" w:w="2740"/>
          </w:tcPr>
          <w:p>
            <w:pPr>
              <w:jc w:val="center"/>
            </w:pPr>
            <w:r>
              <w:rPr>
                <w:rFonts w:ascii="Times New Roman" w:hAnsi="Times New Roman"/>
                <w:sz w:val="24"/>
              </w:rPr>
              <w:t>Chunduri Sai Kaushik</w:t>
            </w:r>
          </w:p>
        </w:tc>
        <w:tc>
          <w:tcPr>
            <w:tcW w:type="dxa" w:w="2740"/>
          </w:tcPr>
          <w:p>
            <w:pPr>
              <w:jc w:val="center"/>
            </w:pPr>
            <w:r>
              <w:rPr>
                <w:rFonts w:ascii="Times New Roman" w:hAnsi="Times New Roman"/>
                <w:sz w:val="24"/>
              </w:rPr>
              <w:t>Keshav Gujrathi</w:t>
            </w:r>
          </w:p>
        </w:tc>
      </w:tr>
      <w:tr>
        <w:tc>
          <w:tcPr>
            <w:tcW w:type="dxa" w:w="2740"/>
          </w:tcPr>
          <w:p>
            <w:pPr>
              <w:jc w:val="center"/>
            </w:pPr>
            <w:r>
              <w:rPr>
                <w:rFonts w:ascii="Times New Roman" w:hAnsi="Times New Roman"/>
                <w:sz w:val="24"/>
              </w:rPr>
              <w:t>Designation</w:t>
            </w:r>
          </w:p>
        </w:tc>
        <w:tc>
          <w:tcPr>
            <w:tcW w:type="dxa" w:w="2740"/>
          </w:tcPr>
          <w:p>
            <w:pPr>
              <w:jc w:val="center"/>
            </w:pPr>
            <w:r>
              <w:rPr>
                <w:rFonts w:ascii="Times New Roman" w:hAnsi="Times New Roman"/>
                <w:sz w:val="24"/>
              </w:rPr>
              <w:t>[Roll No. / Programme]</w:t>
            </w:r>
          </w:p>
        </w:tc>
        <w:tc>
          <w:tcPr>
            <w:tcW w:type="dxa" w:w="2740"/>
          </w:tcPr>
          <w:p>
            <w:pPr>
              <w:jc w:val="center"/>
            </w:pPr>
            <w:r>
              <w:rPr>
                <w:rFonts w:ascii="Times New Roman" w:hAnsi="Times New Roman"/>
                <w:sz w:val="24"/>
              </w:rPr>
              <w:t>[Roll No. / Programme]</w:t>
            </w:r>
          </w:p>
        </w:tc>
      </w:tr>
      <w:tr>
        <w:tc>
          <w:tcPr>
            <w:tcW w:type="dxa" w:w="2740"/>
          </w:tcPr>
          <w:p>
            <w:pPr>
              <w:jc w:val="center"/>
            </w:pPr>
            <w:r>
              <w:rPr>
                <w:rFonts w:ascii="Times New Roman" w:hAnsi="Times New Roman"/>
                <w:sz w:val="24"/>
              </w:rPr>
              <w:t>Signature</w:t>
            </w:r>
          </w:p>
        </w:tc>
        <w:tc>
          <w:tcPr>
            <w:tcW w:type="dxa" w:w="2740"/>
          </w:tcPr>
          <w:p>
            <w:pPr>
              <w:jc w:val="center"/>
            </w:pPr>
            <w:r>
              <w:rPr>
                <w:rFonts w:ascii="Times New Roman" w:hAnsi="Times New Roman"/>
                <w:sz w:val="24"/>
              </w:rPr>
              <w:t>_____________________</w:t>
            </w:r>
          </w:p>
        </w:tc>
        <w:tc>
          <w:tcPr>
            <w:tcW w:type="dxa" w:w="2740"/>
          </w:tcPr>
          <w:p>
            <w:pPr>
              <w:jc w:val="center"/>
            </w:pPr>
            <w:r>
              <w:rPr>
                <w:rFonts w:ascii="Times New Roman" w:hAnsi="Times New Roman"/>
                <w:sz w:val="24"/>
              </w:rPr>
              <w:t>_____________________</w:t>
            </w:r>
          </w:p>
        </w:tc>
      </w:tr>
      <w:tr>
        <w:tc>
          <w:tcPr>
            <w:tcW w:type="dxa" w:w="2740"/>
          </w:tcPr>
          <w:p>
            <w:pPr>
              <w:jc w:val="center"/>
            </w:pPr>
            <w:r>
              <w:rPr>
                <w:rFonts w:ascii="Times New Roman" w:hAnsi="Times New Roman"/>
                <w:sz w:val="24"/>
              </w:rPr>
              <w:t>Date</w:t>
            </w:r>
          </w:p>
        </w:tc>
        <w:tc>
          <w:tcPr>
            <w:tcW w:type="dxa" w:w="2740"/>
          </w:tcPr>
          <w:p>
            <w:pPr>
              <w:jc w:val="center"/>
            </w:pPr>
            <w:r>
              <w:rPr>
                <w:rFonts w:ascii="Times New Roman" w:hAnsi="Times New Roman"/>
                <w:sz w:val="24"/>
              </w:rPr>
              <w:t>____ / ____ / 2024</w:t>
            </w:r>
          </w:p>
        </w:tc>
        <w:tc>
          <w:tcPr>
            <w:tcW w:type="dxa" w:w="2740"/>
          </w:tcPr>
          <w:p>
            <w:pPr>
              <w:jc w:val="center"/>
            </w:pPr>
            <w:r>
              <w:rPr>
                <w:rFonts w:ascii="Times New Roman" w:hAnsi="Times New Roman"/>
                <w:sz w:val="24"/>
              </w:rPr>
              <w:t>____ / ____ / 2024</w:t>
            </w:r>
          </w:p>
        </w:tc>
      </w:tr>
    </w:tbl>
    <w:p/>
    <w:p>
      <w:pPr>
        <w:spacing w:line="480" w:lineRule="auto" w:before="0" w:after="0"/>
        <w:ind w:left="0"/>
        <w:jc w:val="both"/>
      </w:pPr>
      <w:r>
        <w:rPr>
          <w:rFonts w:ascii="Times New Roman" w:hAnsi="Times New Roman"/>
          <w:b w:val="0"/>
          <w:i w:val="0"/>
          <w:sz w:val="24"/>
        </w:rPr>
        <w:t>Place of Signing: _______________________________</w:t>
      </w:r>
    </w:p>
    <w:p>
      <w:pPr>
        <w:spacing w:line="480" w:lineRule="auto" w:before="0" w:after="0"/>
        <w:ind w:left="0"/>
        <w:jc w:val="both"/>
      </w:pPr>
      <w:r>
        <w:rPr>
          <w:rFonts w:ascii="Times New Roman" w:hAnsi="Times New Roman"/>
          <w:b w:val="0"/>
          <w:i w:val="0"/>
          <w:sz w:val="24"/>
        </w:rPr>
        <w:t>Date of Signing:  ____ / ____ / 2024</w:t>
      </w:r>
    </w:p>
    <w:p/>
    <w:p>
      <w:pPr>
        <w:spacing w:before="80" w:after="80"/>
        <w:ind w:left="0"/>
        <w:jc w:val="center"/>
      </w:pPr>
      <w:r>
        <w:rPr>
          <w:rFonts w:ascii="Times New Roman" w:hAnsi="Times New Roman"/>
          <w:b w:val="0"/>
          <w:i/>
          <w:sz w:val="18"/>
        </w:rPr>
        <w:t>─────────────────────────────────────────────────────────────────</w:t>
      </w:r>
    </w:p>
    <w:p>
      <w:pPr>
        <w:spacing w:line="480" w:lineRule="auto" w:before="0" w:after="0"/>
        <w:ind w:left="0"/>
        <w:jc w:val="both"/>
      </w:pPr>
      <w:r>
        <w:rPr>
          <w:rFonts w:ascii="Times New Roman" w:hAnsi="Times New Roman"/>
          <w:b w:val="0"/>
          <w:i/>
          <w:sz w:val="22"/>
        </w:rPr>
        <w:t>Note: This Provisional Specification establishes the priority date. A Complete Specification must be filed within TWELVE (12) MONTHS per Section 9(1) of the Patents Act, 1970. Failure to file within 12 months will result in abandonment.</w:t>
      </w:r>
    </w:p>
    <w:sectPr w:rsidR="00FC693F" w:rsidRPr="0006063C" w:rsidSect="00034616">
      <w:footerReference w:type="default" r:id="rId9"/>
      <w:pgSz w:w="11906" w:h="16838"/>
      <w:pgMar w:top="1984" w:right="1417"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