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E2A38"/>
          <w:sz w:val="80"/>
          <w:szCs w:val="80"/>
        </w:rPr>
        <w:t xml:space="preserve">ParkSense</w:t>
      </w:r>
    </w:p>
    <w:p>
      <w:pPr>
        <w:spacing w:after="80"/>
        <w:jc w:val="center"/>
      </w:pPr>
      <w:r>
        <w:rPr>
          <w:color w:val="B5731A"/>
          <w:sz w:val="30"/>
          <w:szCs w:val="30"/>
        </w:rPr>
        <w:t xml:space="preserve">Parking-Induced Congestion Intelligence</w:t>
      </w:r>
    </w:p>
    <w:p>
      <w:pPr>
        <w:spacing w:after="60"/>
        <w:jc w:val="center"/>
      </w:pPr>
      <w:r>
        <w:rPr>
          <w:color w:val="5A6672"/>
          <w:sz w:val="24"/>
          <w:szCs w:val="24"/>
        </w:rPr>
        <w:t xml:space="preserve">for Traffic-Enforcement Command Centres</w:t>
      </w:r>
    </w:p>
    <w:p>
      <w:pPr>
        <w:spacing w:after="40" w:before="480"/>
        <w:jc w:val="center"/>
      </w:pPr>
      <w:r>
        <w:rPr>
          <w:color w:val="222A31"/>
          <w:sz w:val="22"/>
          <w:szCs w:val="22"/>
        </w:rPr>
        <w:t xml:space="preserve">Flipkart Gridlock 2.0</w:t>
      </w:r>
    </w:p>
    <w:p>
      <w:pPr>
        <w:spacing w:after="480"/>
        <w:jc w:val="center"/>
      </w:pPr>
      <w:r>
        <w:rPr>
          <w:i/>
          <w:iCs/>
          <w:color w:val="5A6672"/>
          <w:sz w:val="20"/>
          <w:szCs w:val="20"/>
        </w:rPr>
        <w:t xml:space="preserve">Theme: Poor Visibility on Parking-Induced Congestion</w:t>
      </w:r>
    </w:p>
    <w:p>
      <w:pPr>
        <w:spacing w:after="24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Live application</w:t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parksense-e1w1.onrender.com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Source code</w:t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github.com/keshavhacker1609/parksense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API documentation</w:t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parksense-e1w1.onrender.com/docs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Team</w:t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Keshav Singla · Aadya Jain · Purva Jain · Shravani Singh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Team</w:t>
      </w:r>
    </w:p>
    <w:p>
      <w:pPr>
        <w:spacing w:after="120" w:line="276"/>
      </w:pPr>
      <w:r>
        <w:t xml:space="preserve">ParkSense was designed and built by a four-member team. The work spans a reproducible data pipeline, a typed analytical API, a machine-learning forecast, and a production-grade single-page command console — integrated into one deployable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Keshav Singla</w:t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Team lead · backend, analytics engine (CIS, enforcement gap), deployment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Aadya Jain</w:t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Data pipeline · parsing, feature engineering, forecasting model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Purva Jain</w:t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Frontend · map console, deck.gl visualisation, UI/UX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Shravani Singh</w:t>
            </w:r>
          </w:p>
        </w:tc>
        <w:tc>
          <w:tcPr>
            <w:tcW w:type="dxa" w:w="6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Analytics &amp; validation · methodology, testing, documentation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Executive Summary — What We Made</w:t>
      </w:r>
    </w:p>
    <w:p>
      <w:pPr>
        <w:spacing w:after="120" w:line="276"/>
      </w:pPr>
      <w:r>
        <w:t xml:space="preserve">ParkSense is a decision tool, not a dashboard. It converts a raw log of ~298,000 Bengaluru parking-violation records into a ranked, explainable list of where traffic enforcement should act first — and where it is currently failing to act.</w:t>
      </w:r>
    </w:p>
    <w:p>
      <w:pPr>
        <w:spacing w:after="120" w:line="276"/>
      </w:pPr>
      <w:r>
        <w:t xml:space="preserve">The product is built around three computed instruments: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Congestion Impact Score (CIS) — a transparent per-location score that ranks every geographic cell by how much it obstructs traffic flow, weighting what the violation is (not merely how many).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Enforcement Efficiency Gap — a per-station measure that exposes high-impact, under-enforced zones — the single most actionable insight for reallocating patrols.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Short-horizon hotspot forecasting — a backtested model that predicts each hotspot's next-day intensity, plus an emerging-hotspot detector for watch zones.</w:t>
      </w:r>
    </w:p>
    <w:p>
      <w:pPr>
        <w:spacing w:after="120" w:line="276"/>
      </w:pPr>
      <w:r>
        <w:t xml:space="preserve">These are surfaced through a dark, data-dense command console: a full-bleed impact heatmap, a filter rail, and an insight panel delivering the prioritised action list with an audit-grade breakdown of every score.</w:t>
      </w:r>
    </w:p>
    <w:p>
      <w:pPr>
        <w:pStyle w:val="Heading2"/>
      </w:pPr>
      <w:r>
        <w:t xml:space="preserve">Headline figures (all computed from the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Incidents analysed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298,450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Violations (multi-label, exploded)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348,455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Distinct vehicles tracked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231,890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H3 impact cells (resolution 9)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2,534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Police stations profiled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Under-enforced high-impact stations flagged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Emerging-hotspot watch zones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28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Observed window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 Nov 2023 – 8 Apr 2024 (Asia/Kolkata)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Forecast accuracy</w:t>
            </w:r>
          </w:p>
        </w:tc>
        <w:tc>
          <w:tcPr>
            <w:tcW w:type="dxa" w:w="37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MAE 3.77 vs. naïve 4.23 (+11% skill)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command console</w:t>
      </w:r>
    </w:p>
    <w:p>
      <w:pPr>
        <w:spacing w:after="6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console" descr="Impact heatmap with priority list" title="ParkSense command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672"/>
          <w:sz w:val="18"/>
          <w:szCs w:val="18"/>
        </w:rPr>
        <w:t xml:space="preserve">The live impact heatmap, filter rail, and prioritised enforcement panel.</w:t>
      </w:r>
    </w:p>
    <w:p>
      <w:r>
        <w:br w:type="page"/>
      </w:r>
    </w:p>
    <w:p>
      <w:pPr>
        <w:pStyle w:val="Heading1"/>
      </w:pPr>
      <w:r>
        <w:t xml:space="preserve">3. The Problem and Why It Matters</w:t>
      </w:r>
    </w:p>
    <w:p>
      <w:pPr>
        <w:spacing w:after="120" w:line="276"/>
      </w:pPr>
      <w:r>
        <w:t xml:space="preserve">Illegal and careless parking is one of the largest, least-managed contributors to urban congestion. A single vehicle stopped on a main road, a footpath, or near a junction can throttle a lane for hours, cascading delays across a corridor.</w:t>
      </w:r>
    </w:p>
    <w:p>
      <w:pPr>
        <w:spacing w:after="120" w:line="276"/>
      </w:pPr>
      <w:r>
        <w:t xml:space="preserve">The Gridlock 2.0 brief frames it precisely: quantify the impact of parking violations on traffic flow to enable targeted enforcement. The key word is impact.</w:t>
      </w:r>
    </w:p>
    <w:p>
      <w:pPr>
        <w:spacing w:after="120" w:line="276"/>
      </w:pPr>
      <w:r>
        <w:rPr>
          <w:b/>
          <w:bCs/>
        </w:rPr>
        <w:t xml:space="preserve">Why most approaches fall short.</w:t>
      </w:r>
      <w:r>
        <w:t xml:space="preserve"> The violations in the dataset are already detected and labelled. Plotting them on a map only re-states what is already known — a wall of dots with no priority, no explanation, and no link to enforcement effectiveness. A command centre cannot act on 298,000 undifferentiated points.</w:t>
      </w:r>
    </w:p>
    <w:p>
      <w:pPr>
        <w:spacing w:after="120" w:line="276"/>
      </w:pPr>
      <w:r>
        <w:rPr>
          <w:b/>
          <w:bCs/>
        </w:rPr>
        <w:t xml:space="preserve">The real, unanswered question</w:t>
      </w:r>
      <w:r>
        <w:t xml:space="preserve"> is therefore not “where are violations?” but: which locations are doing the most damage to traffic flow, and where is enforcement effort failing to match that damage?</w:t>
      </w:r>
    </w:p>
    <w:p>
      <w:pPr>
        <w:spacing w:after="120" w:line="276"/>
      </w:pPr>
      <w:r>
        <w:t xml:space="preserve">ParkSense exists to answer exactly that — turning an opaque log into visible, ranked, explainable priorities, directly addressing the chosen theme, Poor Visibility on Parking-Induced Congestion.</w:t>
      </w:r>
    </w:p>
    <w:p>
      <w:pPr>
        <w:pStyle w:val="Heading1"/>
      </w:pPr>
      <w:r>
        <w:t xml:space="preserve">4. Our Solution</w:t>
      </w:r>
    </w:p>
    <w:p>
      <w:pPr>
        <w:spacing w:after="120" w:line="276"/>
      </w:pPr>
      <w:r>
        <w:t xml:space="preserve">ParkSense treats the problem as a prioritisation and resource-allocation problem, solved with three layers that build on each other.</w:t>
      </w:r>
    </w:p>
    <w:p>
      <w:pPr>
        <w:pStyle w:val="Heading2"/>
      </w:pPr>
      <w:r>
        <w:t xml:space="preserve">4.1 Measure impact (CIS)</w:t>
      </w:r>
    </w:p>
    <w:p>
      <w:pPr>
        <w:spacing w:after="120" w:line="276"/>
      </w:pPr>
      <w:r>
        <w:t xml:space="preserve">Every location is scored by how much it actually obstructs flow — combining violation severity, vehicle footprint, density, persistence and peak-hour pressure — rather than by raw count. A bus blocking a main road outranks a scooter on a quiet lane, which is how a traffic officer would triage.</w:t>
      </w:r>
    </w:p>
    <w:p>
      <w:pPr>
        <w:pStyle w:val="Heading2"/>
      </w:pPr>
      <w:r>
        <w:t xml:space="preserve">4.2 Expose the enforcement gap</w:t>
      </w:r>
    </w:p>
    <w:p>
      <w:pPr>
        <w:spacing w:after="120" w:line="276"/>
      </w:pPr>
      <w:r>
        <w:t xml:space="preserve">We compare each station's congestion impact against its enforcement performance. The output is a ranked list of zones that are high-impact but under-enforced — precisely where redeploying patrols yields the most benefit.</w:t>
      </w:r>
    </w:p>
    <w:p>
      <w:pPr>
        <w:pStyle w:val="Heading2"/>
      </w:pPr>
      <w:r>
        <w:t xml:space="preserve">4.3 Look ahead (forecast + anomalies)</w:t>
      </w:r>
    </w:p>
    <w:p>
      <w:pPr>
        <w:spacing w:after="120" w:line="276"/>
      </w:pPr>
      <w:r>
        <w:t xml:space="preserve">We forecast next-day intensity per hotspot and flag cells whose recent activity is spiking versus their own baseline, so teams can pre-position rather than react.</w:t>
      </w:r>
    </w:p>
    <w:p>
      <w:pPr>
        <w:pStyle w:val="Heading1"/>
      </w:pPr>
      <w:r>
        <w:t xml:space="preserve">5. The Dataset</w:t>
      </w:r>
    </w:p>
    <w:p>
      <w:pPr>
        <w:spacing w:after="120" w:line="276"/>
      </w:pPr>
      <w:r>
        <w:t xml:space="preserve">A single CSV of Bengaluru parking-violation records. The schema and its quirks drove many of our engineering decisions. Parsing challenges we handled robustly: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JSON arrays inside CSV cells</w:t>
      </w:r>
      <w:r>
        <w:t xml:space="preserve"> — violation_type and offence_code are JSON-encoded arrays; one row can carry several violations. We parse and explode them, taking per-incident severity as the maximum over its types.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Literal "NULL" tokens</w:t>
      </w:r>
      <w:r>
        <w:t xml:space="preserve"> — normalised to real missing values rather than treated as text.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Timezone-aware timestamps</w:t>
      </w:r>
      <w:r>
        <w:t xml:space="preserve"> — source times are UTC; converted to Asia/Kolkata before any temporal analysis.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Date range from the data, not the filename</w:t>
      </w:r>
      <w:r>
        <w:t xml:space="preserve"> — the true window (9 Nov 2023 – 8 Apr 2024) is computed from created_datetime.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Coordinate sanity bounds</w:t>
      </w:r>
      <w:r>
        <w:t xml:space="preserve"> — rows outside Bengaluru are dropped.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Stable anonymised vehicle_number</w:t>
      </w:r>
      <w:r>
        <w:t xml:space="preserve"> — used for repeat-offender and chronic-location analysis.</w:t>
      </w:r>
    </w:p>
    <w:p>
      <w:pPr>
        <w:spacing w:after="120" w:line="276"/>
      </w:pPr>
      <w:r>
        <w:rPr>
          <w:b/>
          <w:bCs/>
        </w:rPr>
        <w:t xml:space="preserve">A critical data-quality finding.</w:t>
      </w:r>
      <w:r>
        <w:t xml:space="preserve"> On inspection, action_taken_timestamp and closed_datetime are 100% NULL across the dataset. Rather than fabricate enforcement metrics, we pivoted the enforcement analytics to the field that is populated (~58% coverage): validation_status / validation_timestamp. Enforcement latency is therefore measured as created → validation. Where a value genuinely cannot be computed, we do not display it. This honesty is a deliberate design principle.</w:t>
      </w:r>
    </w:p>
    <w:p>
      <w:r>
        <w:br w:type="page"/>
      </w:r>
    </w:p>
    <w:p>
      <w:pPr>
        <w:pStyle w:val="Heading1"/>
      </w:pPr>
      <w:r>
        <w:t xml:space="preserve">6. How It Works — The Analytics Layer</w:t>
      </w:r>
    </w:p>
    <w:p>
      <w:pPr>
        <w:pStyle w:val="Heading2"/>
      </w:pPr>
      <w:r>
        <w:t xml:space="preserve">6.1 Congestion Impact Score (CIS)</w:t>
      </w:r>
    </w:p>
    <w:p>
      <w:pPr>
        <w:spacing w:after="120" w:line="276"/>
      </w:pPr>
      <w:r>
        <w:t xml:space="preserve">CIS is a transparent weighted composite, computed per H3 cell, normalised to 0–100, and damped by a recurrence-confidence factor.</w:t>
      </w:r>
    </w:p>
    <w:p>
      <w:pPr>
        <w:shd w:fill="F0F3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CIS_raw = w_sev·severity + w_foot·footprint + w_dens·density + w_pers·persistence + w_peak·peak_pressure</w:t>
      </w:r>
    </w:p>
    <w:p>
      <w:pPr>
        <w:shd w:fill="F0F3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CIS = (CIS_raw / Σw) · 100 · confidence,    confidence = n / (n + k),  k = 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Severity</w:t>
            </w:r>
          </w:p>
        </w:tc>
        <w:tc>
          <w:tcPr>
            <w:tcW w:type="dxa" w:w="1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0.35</w:t>
            </w:r>
          </w:p>
        </w:tc>
        <w:tc>
          <w:tcPr>
            <w:tcW w:type="dxa" w:w="63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Mean flow-obstruction ordinal of the cell's violation mix (footpath / main-road / crossing highest; non-obstructive offences lowest).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Vehicle footprint</w:t>
            </w:r>
          </w:p>
        </w:tc>
        <w:tc>
          <w:tcPr>
            <w:tcW w:type="dxa" w:w="1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0.20</w:t>
            </w:r>
          </w:p>
        </w:tc>
        <w:tc>
          <w:tcPr>
            <w:tcW w:type="dxa" w:w="63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Mean carriageway width consumed by the vehicle mix (scooter 1.0 → bus 6.5).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Density</w:t>
            </w:r>
          </w:p>
        </w:tc>
        <w:tc>
          <w:tcPr>
            <w:tcW w:type="dxa" w:w="1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0.20</w:t>
            </w:r>
          </w:p>
        </w:tc>
        <w:tc>
          <w:tcPr>
            <w:tcW w:type="dxa" w:w="63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Incident volume per cell, log-compressed then min-max normalised.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Persistence</w:t>
            </w:r>
          </w:p>
        </w:tc>
        <w:tc>
          <w:tcPr>
            <w:tcW w:type="dxa" w:w="1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0.10</w:t>
            </w:r>
          </w:p>
        </w:tc>
        <w:tc>
          <w:tcPr>
            <w:tcW w:type="dxa" w:w="63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Fraction of the observed window the cell was active — chronic vs. one-off.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Peak pressure</w:t>
            </w:r>
          </w:p>
        </w:tc>
        <w:tc>
          <w:tcPr>
            <w:tcW w:type="dxa" w:w="1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0.15</w:t>
            </w:r>
          </w:p>
        </w:tc>
        <w:tc>
          <w:tcPr>
            <w:tcW w:type="dxa" w:w="63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Share of incidents in the data-derived peak hours.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Data-derived peak hours.</w:t>
      </w:r>
      <w:r>
        <w:t xml:space="preserve"> Rather than assuming rush hours, we take the top quartile of hours by volume — for this dataset, 04, 05, 08, 09, 10, 11 (local) — surfaced explicitly in the UI.</w:t>
      </w:r>
    </w:p>
    <w:p>
      <w:pPr>
        <w:spacing w:after="120" w:line="276"/>
      </w:pPr>
      <w:r>
        <w:rPr>
          <w:b/>
          <w:bCs/>
        </w:rPr>
        <w:t xml:space="preserve">Why the confidence factor?</w:t>
      </w:r>
      <w:r>
        <w:t xml:space="preserve"> Severity, footprint and peak pressure can be high for a single unlucky incident. A prioritisation tool must not rank that beside a chronic hotspot, so the composite is shrunk by n/(n+k): a cell needs roughly k incidents to reach half weight. This removed low-evidence one-offs from the top of the ranking.</w:t>
      </w:r>
    </w:p>
    <w:p>
      <w:pPr>
        <w:spacing w:after="120" w:line="276"/>
      </w:pPr>
      <w:r>
        <w:rPr>
          <w:b/>
          <w:bCs/>
        </w:rPr>
        <w:t xml:space="preserve">Transparency.</w:t>
      </w:r>
      <w:r>
        <w:t xml:space="preserve"> Each component's contribution is stored and shown on hover, so any score is auditable in one glance. The same formula is implemented once in Python and faithfully re-implemented in SQL so filtered map views recompute the score for exactly the slice on screen.</w:t>
      </w:r>
    </w:p>
    <w:p>
      <w:pPr>
        <w:pStyle w:val="Heading2"/>
      </w:pPr>
      <w:r>
        <w:t xml:space="preserve">6.2 Enforcement Efficiency Gap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Impact</w:t>
      </w:r>
      <w:r>
        <w:t xml:space="preserve"> = sum of the CIS of every cell the station is responsible for.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Enforcement performance</w:t>
      </w:r>
      <w:r>
        <w:t xml:space="preserve"> = mean of two percentile ranks — cases processed (validation rate) and turnaround speed (low median validation latency). Rejection rate is reported but not penalised.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Gap</w:t>
      </w:r>
      <w:r>
        <w:t xml:space="preserve"> = impact percentile − performance percentile. A large positive gap → flagged under-enforced.</w:t>
      </w:r>
    </w:p>
    <w:p>
      <w:pPr>
        <w:spacing w:after="120" w:line="276"/>
      </w:pPr>
      <w:r>
        <w:t xml:space="preserve">This produces the product's sharpest line, e.g. “HAL Old Airport ranks in the 94th percentile for congestion impact but only the 27th for enforcement performance.” 18 stations are flagged — a ready-made patrol-reallocation list.</w:t>
      </w:r>
    </w:p>
    <w:p>
      <w:pPr>
        <w:pStyle w:val="Heading2"/>
      </w:pPr>
      <w:r>
        <w:t xml:space="preserve">6.3 Hotspot Forecasting</w:t>
      </w:r>
    </w:p>
    <w:p>
      <w:pPr>
        <w:spacing w:after="120" w:line="276"/>
      </w:pPr>
      <w:r>
        <w:t xml:space="preserve">A daily per-cell intensity model over the busiest cells: LightGBM with a Tweedie objective, on lag (1/2/3/7/14 d), rolling mean/std (7/14 d), calendar, and a spatial-neighbour signal (H3 ring-1, lagged). Evaluated on a held-out final 21 days — the model never sees the test window during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MAE</w:t>
            </w:r>
          </w:p>
        </w:tc>
        <w:tc>
          <w:tcPr>
            <w:tcW w:type="dxa" w:w="51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3.77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MAE — naïve persistence baseline</w:t>
            </w:r>
          </w:p>
        </w:tc>
        <w:tc>
          <w:tcPr>
            <w:tcW w:type="dxa" w:w="51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4.23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Skill vs. naïve</w:t>
            </w:r>
          </w:p>
        </w:tc>
        <w:tc>
          <w:tcPr>
            <w:tcW w:type="dxa" w:w="51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+11.0%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MAPE</w:t>
            </w:r>
          </w:p>
        </w:tc>
        <w:tc>
          <w:tcPr>
            <w:tcW w:type="dxa" w:w="51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96.8% (inflated by many low-count days; MAE is the honest headline)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We publish the persistence baseline alongside the model so the gain is provable, not asserted.</w:t>
      </w:r>
    </w:p>
    <w:p>
      <w:pPr>
        <w:pStyle w:val="Heading2"/>
      </w:pPr>
      <w:r>
        <w:t xml:space="preserve">6.4 Emerging-hotspot / Anomaly Detection</w:t>
      </w:r>
    </w:p>
    <w:p>
      <w:pPr>
        <w:spacing w:after="120" w:line="276"/>
      </w:pPr>
      <w:r>
        <w:t xml:space="preserve">We flag cells whose recent-window mean exceeds their own historical baseline by a rolling z-score threshold. These become watch zones (28 detected) — locations trending up before they become established hotspots.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breakdown" descr="Selected cell component breakdown" title="CIS break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672"/>
          <w:sz w:val="18"/>
          <w:szCs w:val="18"/>
        </w:rPr>
        <w:t xml:space="preserve">Selecting a hotspot reveals its CIS components, enforcement gap and next-day forecast.</w:t>
      </w:r>
    </w:p>
    <w:p>
      <w:r>
        <w:br w:type="page"/>
      </w:r>
    </w:p>
    <w:p>
      <w:pPr>
        <w:pStyle w:val="Heading1"/>
      </w:pPr>
      <w:r>
        <w:t xml:space="preserve">7. System Architecture</w:t>
      </w:r>
    </w:p>
    <w:p>
      <w:pPr>
        <w:spacing w:after="120" w:line="276"/>
      </w:pPr>
      <w:r>
        <w:rPr>
          <w:b/>
          <w:bCs/>
        </w:rPr>
        <w:t xml:space="preserve">Two-phase design.</w:t>
      </w:r>
      <w:r>
        <w:t xml:space="preserve"> Heavy computation (parsing, scoring, model training) runs once in the offline pipeline and is persisted as Parquet/JSON artifacts. The API then serves these instantly and recomputes only filter-dependent aggregates on demand — keeping the live product fast and the analytics reproducible.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pipeline/ingest.py</w:t>
            </w:r>
          </w:p>
        </w:tc>
        <w:tc>
          <w:tcPr>
            <w:tcW w:type="dxa" w:w="6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Clean CSV · explode JSON · UTC→IST · H3 index → violations.parquet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pipeline/features.py</w:t>
            </w:r>
          </w:p>
        </w:tc>
        <w:tc>
          <w:tcPr>
            <w:tcW w:type="dxa" w:w="6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CIS · enforcement gap · anomalies · meta → hex/station/anomaly.parquet + meta.json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pipeline/forecast.py</w:t>
            </w:r>
          </w:p>
        </w:tc>
        <w:tc>
          <w:tcPr>
            <w:tcW w:type="dxa" w:w="6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LightGBM training + backtest → forecast.parquet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DuckDB + FastAPI</w:t>
            </w:r>
          </w:p>
        </w:tc>
        <w:tc>
          <w:tcPr>
            <w:tcW w:type="dxa" w:w="6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In-process columnar SQL over Parquet; typed REST with server-side aggregation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React SPA</w:t>
            </w:r>
          </w:p>
        </w:tc>
        <w:tc>
          <w:tcPr>
            <w:tcW w:type="dxa" w:w="6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MapLibre GL + deck.gl (H3HexagonLayer) + ECharts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Single-service deployment.</w:t>
      </w:r>
      <w:r>
        <w:t xml:space="preserve"> For the live demo, the built frontend is served by the same FastAPI process that serves the API — one URL, no CORS, one container. The Docker image ships the precomputed artifacts, so the deployed service needs no raw CSV.</w:t>
      </w:r>
    </w:p>
    <w:p>
      <w:pPr>
        <w:pStyle w:val="Heading1"/>
      </w:pPr>
      <w:r>
        <w:t xml:space="preserve">8. Technology Stack and Why We Chose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660"/>
      </w:tblGrid>
      <w:tr>
        <w:trPr>
          <w:tblHeader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Analytical engine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DuckDB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Columnar, in-process, zero-setup SQL over Parquet; runs instantly, no DB server.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Geospatial index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Uber H3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Hexagonal cells give uniform, distortion-free spatial aggregation.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Backend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FastAPI + Pydantic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Typed, async, automatic OpenAPI docs, fast.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Forecasting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LightGBM + scikit-learn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Strong, fast gradient boosting; Tweedie objective fits the count target.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Data processing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pandas + pyarrow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Robust parsing and Parquet I/O.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Frontend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React + TypeScript + Vite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Type-safe, fast dev/build.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Mapping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MapLibre GL + deck.gl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GPU-accelerated H3HexagonLayer; free, key-less basemap.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Charts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ECharts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Restrained, control-room-grade charts.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Packaging / hosting</w:t>
            </w:r>
          </w:p>
        </w:tc>
        <w:tc>
          <w:tcPr>
            <w:tcW w:type="dxa" w:w="26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Docker / Render</w:t>
            </w:r>
          </w:p>
        </w:tc>
        <w:tc>
          <w:tcPr>
            <w:tcW w:type="dxa" w:w="46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One image hosts UI + API; free, blueprint-driven deploy.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No paid APIs are required to run. Everything works offline from the CSV; the basemap is a free MapLibre raster style.</w:t>
      </w:r>
    </w:p>
    <w:p>
      <w:r>
        <w:br w:type="page"/>
      </w:r>
    </w:p>
    <w:p>
      <w:pPr>
        <w:pStyle w:val="Heading1"/>
      </w:pPr>
      <w:r>
        <w:t xml:space="preserve">9. API Reference</w:t>
      </w:r>
    </w:p>
    <w:p>
      <w:pPr>
        <w:spacing w:after="120" w:line="276"/>
      </w:pPr>
      <w:r>
        <w:t xml:space="preserve">Base URL: parksense-e1w1.onrender.com · Interactive docs: /docs. All aggregation is server-side — the browser never receives raw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1E2A3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/health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Liveness + total incident count.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/api/v1/meta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Date range, distinct filter values, totals, peak hours, CIS quantile breaks, backtest.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/api/v1/hexes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H3 cells with filter-aware CIS and full component breakdown.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/api/v1/hotspots/priority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Ranked enforcement action list with CIS, station, gap, recommendation.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/api/v1/enforcement/gap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Per-station impact vs. enforcement performance, with under-enforced flag.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/api/v1/forecast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Per-cell next-day forecast + backtest error.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/api/v1/anomalies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Emerging-hotspot watch zones.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/api/v1/trends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Time series grouped by hour / dow / month / vehicle / violation.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/api/v1/enforcement/latency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Validation-latency distribution.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GET /api/v1/incident/{id}</w:t>
            </w:r>
          </w:p>
        </w:tc>
        <w:tc>
          <w:tcPr>
            <w:tcW w:type="dxa" w:w="5860"/>
            <w:tcBorders>
              <w:top w:val="single" w:color="C2CCD4" w:sz="1"/>
              <w:left w:val="single" w:color="C2CCD4" w:sz="1"/>
              <w:bottom w:val="single" w:color="C2CCD4" w:sz="1"/>
              <w:right w:val="single" w:color="C2CCD4" w:sz="1"/>
            </w:tcBorders>
            <w:shd w:fill="EEF2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Single-record drill-down.</w:t>
            </w:r>
          </w:p>
        </w:tc>
      </w:tr>
    </w:tbl>
    <w:p>
      <w:pPr>
        <w:pStyle w:val="Heading1"/>
      </w:pPr>
      <w:r>
        <w:t xml:space="preserve">10. The User Interface</w:t>
      </w:r>
    </w:p>
    <w:p>
      <w:pPr>
        <w:spacing w:after="120" w:line="276"/>
      </w:pPr>
      <w:r>
        <w:t xml:space="preserve">A single-purpose command console, not a marketing site.</w:t>
      </w:r>
    </w:p>
    <w:p>
      <w:pPr>
        <w:pStyle w:val="Heading2"/>
      </w:pPr>
      <w:r>
        <w:t xml:space="preserve">Command view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full-bleed dark impact heatmap (deck.gl H3HexagonLayer) with a legend tied to real CIS quantiles and a resolution switch (H3 8 / 9 / 10).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left filter rail — date range, violation type, vehicle type, station — populated from /meta, multi-select, instant; every change recomputes the score server-side.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right insight panel — prioritised enforcement list, selected-cell CIS breakdown, next-day forecast, and the under-enforced high-impact zone callout.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top bar with live computed totals and the true data date range.</w:t>
      </w:r>
    </w:p>
    <w:p>
      <w:pPr>
        <w:pStyle w:val="Heading2"/>
      </w:pPr>
      <w:r>
        <w:t xml:space="preserve">Analytics view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Hourly violation pressure with the derived peak windows highlighted; day-of-week and monthly trends; violation and vehicle composition; enforcement validation-latency distribution.</w:t>
      </w:r>
    </w:p>
    <w:p>
      <w:pPr>
        <w:spacing w:after="120" w:line="276"/>
      </w:pPr>
      <w:r>
        <w:rPr>
          <w:b/>
          <w:bCs/>
        </w:rPr>
        <w:t xml:space="preserve">Design language.</w:t>
      </w:r>
      <w:r>
        <w:t xml:space="preserve"> Deep neutral slate base, one disciplined amber signal colour, a perceptually-uniform inferno ramp for impact (colour-blind safe), Inter + IBM Plex Mono with tabular numerals, and designed empty/loading/error states. It is meant to feel like an internal tool a traffic department paid for.</w:t>
      </w:r>
    </w:p>
    <w:p>
      <w:r>
        <w:br w:type="page"/>
      </w:r>
    </w:p>
    <w:p>
      <w:pPr>
        <w:pStyle w:val="Heading1"/>
      </w:pPr>
      <w:r>
        <w:t xml:space="preserve">11. How We Built It — Engineering Process</w:t>
      </w:r>
    </w:p>
    <w:p>
      <w:pPr>
        <w:spacing w:after="120" w:line="276"/>
      </w:pPr>
      <w:r>
        <w:t xml:space="preserve">We followed a strict execution order so each layer rested on a verified one: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Pipeline first — robust parsing (JSON arrays, NULLs, timezones) → Parquet → validated schema → meta queries, with computed meta printed to confirm parsing.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Scoring + enforcement gap, with unit tests on the provably-correct 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FastAPI endpoints over DuckDB, with OpenAPI.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Map console consuming the real endpoints.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Forecasting + anomaly models, wired into the insight panel with honest error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Polish + deploy — designed states, legend, reproducibility, Docker, live hosting.</w:t>
      </w:r>
    </w:p>
    <w:p>
      <w:pPr>
        <w:pStyle w:val="Heading2"/>
      </w:pPr>
      <w:r>
        <w:t xml:space="preserve">Principles we held throughout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Zero hardcoding</w:t>
      </w:r>
      <w:r>
        <w:t xml:space="preserve"> — every threshold, weight, resolution and ranking is derived at runtime or lives in one typed config.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Accuracy over flash</w:t>
      </w:r>
      <w:r>
        <w:t xml:space="preserve"> — no invented metrics; every chart traces to a real query.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Reproducibility</w:t>
      </w:r>
      <w:r>
        <w:t xml:space="preserve"> — the whole pipeline rebuilds from the raw CSV in ~30 seconds.</w:t>
      </w:r>
    </w:p>
    <w:p>
      <w:pPr>
        <w:pStyle w:val="Heading2"/>
      </w:pPr>
      <w:r>
        <w:t xml:space="preserve">Issues we found and fixed during verification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Domain tables (severity/footprint) initially didn't match the dataset's exact category strings (e.g. BUS (BMTC/KSRTC)); corrected against distinct queries.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single DuckDB connection caused intermittent 500s under FastAPI's concurrent threadpool; fixed with a lock.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UNNEST inside SELECT … GROUP BY is rejected by DuckDB; rewritten as a subquery.</w:t>
      </w:r>
    </w:p>
    <w:p>
      <w:pPr>
        <w:pStyle w:val="Heading1"/>
      </w:pPr>
      <w:r>
        <w:t xml:space="preserve">12. Running the Project</w:t>
      </w:r>
    </w:p>
    <w:p>
      <w:pPr>
        <w:pStyle w:val="Heading2"/>
      </w:pPr>
      <w:r>
        <w:t xml:space="preserve">Option A — Live demo (no setup)</w:t>
      </w:r>
    </w:p>
    <w:p>
      <w:pPr>
        <w:spacing w:after="120" w:line="276"/>
      </w:pPr>
      <w:r>
        <w:t xml:space="preserve">Open parksense-e1w1.onrender.com. API docs at /docs. (Free tier sleeps after 15 min idle; first request may take ~50 s to wake.)</w:t>
      </w:r>
    </w:p>
    <w:p>
      <w:pPr>
        <w:pStyle w:val="Heading2"/>
      </w:pPr>
      <w:r>
        <w:t xml:space="preserve">Option B — Docker (one command)</w:t>
      </w:r>
    </w:p>
    <w:p>
      <w:pPr>
        <w:shd w:fill="F0F3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docker build -t parksense .   &amp;&amp;   docker run -p 8000:8000 parksense</w:t>
      </w:r>
    </w:p>
    <w:p>
      <w:pPr>
        <w:pStyle w:val="Heading2"/>
      </w:pPr>
      <w:r>
        <w:t xml:space="preserve">Option C — Local development</w:t>
      </w:r>
    </w:p>
    <w:p>
      <w:pPr>
        <w:spacing w:after="120" w:line="276"/>
      </w:pPr>
      <w:r>
        <w:t xml:space="preserve">Prerequisites: Python 3.11+, Node 18+. Place the dataset at data/violations_raw.csv, then:</w:t>
      </w:r>
    </w:p>
    <w:p>
      <w:pPr>
        <w:shd w:fill="F0F3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0F3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.venv\Scripts\python -m pip install -r backend\requirements.txt</w:t>
      </w:r>
    </w:p>
    <w:p>
      <w:pPr>
        <w:shd w:fill="F0F3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.venv\Scripts\python -m pipeline.run_all        # build parquet + scores + model (~30s)</w:t>
      </w:r>
    </w:p>
    <w:p>
      <w:pPr>
        <w:shd w:fill="F0F3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.venv\Scripts\python -m uvicorn backend.app.main:app --port 8011</w:t>
      </w:r>
    </w:p>
    <w:p>
      <w:pPr>
        <w:shd w:fill="F0F3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frontend &amp;&amp; npm install &amp;&amp; npm run dev          # open http://localhost:5181</w:t>
      </w:r>
    </w:p>
    <w:p>
      <w:pPr>
        <w:pStyle w:val="Heading1"/>
      </w:pPr>
      <w:r>
        <w:t xml:space="preserve">13. Testing and Quality</w:t>
      </w:r>
    </w:p>
    <w:p>
      <w:pPr>
        <w:spacing w:after="120" w:line="276"/>
      </w:pPr>
      <w:r>
        <w:t xml:space="preserve">The provably-correct core is covered by unit tests: JSON-array and NULL-token parsing; violation-severity and vehicle-footprint mapping; scoring helpers; data-derived peak-hour selection; and monotonicity of the confidence-shrinkage factor (11 tests pass). The frontend is fully typed and type-checks clean, and builds for production without errors. The Docker image was built and run locally before deployment to verify the single-service setup end to end.</w:t>
      </w:r>
    </w:p>
    <w:p>
      <w:pPr>
        <w:pStyle w:val="Heading1"/>
      </w:pPr>
      <w:r>
        <w:t xml:space="preserve">14. Project Structure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parksense/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backend/   app/api/routes.py · app/core/{config,store}.py · app/main.py · tests/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pipeline/  ingest.py · features.py · forecast.py · run_all.py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frontend/  src/components · api.ts · config.ts · theme.css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data/      parquet + meta artifacts (raw CSV gitignored)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docs/      documentation · methodology · screenshots · deck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Dockerfile · render.yaml · README.md</w:t>
      </w:r>
    </w:p>
    <w:p>
      <w:pPr>
        <w:pStyle w:val="Heading1"/>
      </w:pPr>
      <w:r>
        <w:t xml:space="preserve">15. Design Decisions and Trade-offs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CIS as a transparent composite, not a learned score</w:t>
      </w:r>
      <w:r>
        <w:t xml:space="preserve"> — a command centre must trust and explain the priority, so we chose an auditable, weighted composite with visible components.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Confidence shrinkage over a hard cutoff</w:t>
      </w:r>
      <w:r>
        <w:t xml:space="preserve"> — degrades low-evidence cells smoothly instead of discarding them.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Validation lifecycle instead of empty action/closed fields</w:t>
      </w:r>
      <w:r>
        <w:t xml:space="preserve"> — forced by the data; the alternative would mislead.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Precompute + DuckDB rather than a live OLAP DB</w:t>
      </w:r>
      <w:r>
        <w:t xml:space="preserve"> — zero-setup, instantly runnable, fast enough that filtered CIS recomputes in milliseconds.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Single-service deployment</w:t>
      </w:r>
      <w:r>
        <w:t xml:space="preserve"> — simpler, one URL, no CORS.</w:t>
      </w:r>
    </w:p>
    <w:p>
      <w:pPr>
        <w:pStyle w:val="Heading1"/>
      </w:pPr>
      <w:r>
        <w:t xml:space="preserve">16. Limitations and Honest Caveats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action_taken / closed lifecycle fields are empty, so true closure latency cannot be measured; we use validation latency as the best available proxy.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forecast targets the busiest cells; MAPE is high due to many near-zero days — MAE and skill-vs-baseline are the honest measures.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Severity and footprint ordinals encode domain judgement; they are fully visible in config and easily tuned by a traffic authority.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free hosting tier sleeps when idle, adding a one-time cold-start delay.</w:t>
      </w:r>
    </w:p>
    <w:p>
      <w:pPr>
        <w:pStyle w:val="Heading1"/>
      </w:pPr>
      <w:r>
        <w:t xml:space="preserve">17. Future Work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Ingest live feeds for rolling, real-time CIS and same-day forecasts.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Calibrate severity/footprint weights against measured traffic-speed data per corridor.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Route-aware impact (network effects of a blockage on connected roads).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Officer-facing mobile view with turn-by-turn patrol routing over the priority list.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Closed-loop evaluation: measure congestion change after enforcement is reallocated to flagged zones.</w:t>
      </w:r>
    </w:p>
    <w:p>
      <w:pPr>
        <w:spacing w:before="360"/>
        <w:jc w:val="center"/>
      </w:pPr>
      <w:r>
        <w:rPr>
          <w:i/>
          <w:iCs/>
          <w:color w:val="5A6672"/>
          <w:sz w:val="20"/>
          <w:szCs w:val="20"/>
        </w:rPr>
        <w:t xml:space="preserve">ParkSense — from a 298,000-row log to a daily patrol plan.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6"/>
        <w:szCs w:val="16"/>
      </w:rPr>
      <w:t xml:space="preserve">ParkSense · Flipkart Gridlock 2.0          Page </w:t>
    </w:r>
    <w:r>
      <w:rPr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A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E2A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B573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ced575129382e996eab2dd54f103392cbc7aeda.png"/><Relationship Id="rId9" Type="http://schemas.openxmlformats.org/officeDocument/2006/relationships/image" Target="media/27fa47f879a67d2bd350b95e4fa7f49fb6a0aa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ParkSense — Project Documentation</dc:title>
  <dc:creator>ParkSense Team</dc:creator>
  <cp:lastModifiedBy>Un-named</cp:lastModifiedBy>
  <cp:revision>1</cp:revision>
  <dcterms:created xsi:type="dcterms:W3CDTF">2026-06-16T06:22:30.137Z</dcterms:created>
  <dcterms:modified xsi:type="dcterms:W3CDTF">2026-06-16T06:22:30.140Z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