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DATA-3 Single Salt Analysis — Update Notes</w:t>
      </w:r>
    </w:p>
    <w:p>
      <w:pPr>
        <w:pStyle w:val="Subtitle"/>
      </w:pPr>
      <w:r>
        <w:t xml:space="preserve">Speaker addendum · prep for 1-hour presentation · 2026-05-25 morning</w:t>
      </w:r>
    </w:p>
    <w:p>
      <w:pPr>
        <w:pStyle w:val="Author"/>
      </w:pPr>
      <w:r>
        <w:t xml:space="preserve">Companion to DATA3_single_salt_analysis_v7.pptx and the May-20 speaker-notes baseline</w:t>
      </w:r>
    </w:p>
    <w:bookmarkStart w:id="9" w:name="executive-summary-what-to-lead-with"/>
    <w:p>
      <w:pPr>
        <w:pStyle w:val="Heading1"/>
      </w:pPr>
      <w:r>
        <w:t xml:space="preserve">Executive summary — what to lead with</w:t>
      </w:r>
    </w:p>
    <w:p>
      <w:pPr>
        <w:pStyle w:val="FirstParagraph"/>
      </w:pPr>
      <w:r>
        <w:t xml:space="preserve">Yesterday’s deck (v6/v7) diagnosed why</w:t>
      </w:r>
      <w:r>
        <w:t xml:space="preserve"> </w:t>
      </w:r>
      <w:r>
        <w:rPr>
          <w:b/>
          <w:bCs/>
        </w:rPr>
        <w:t xml:space="preserve">σ pins at the bound on most NaCl sheets</w:t>
      </w:r>
      <w:r>
        <w:t xml:space="preserve"> </w:t>
      </w:r>
      <w:r>
        <w:t xml:space="preserve">— the 0.3 % relative weight on cF residuals is</w:t>
      </w:r>
      <w:r>
        <w:t xml:space="preserve"> </w:t>
      </w:r>
      <w:r>
        <w:rPr>
          <w:b/>
          <w:bCs/>
        </w:rPr>
        <w:t xml:space="preserve">3–6× tighter than measurement noise</w:t>
      </w:r>
      <w:r>
        <w:t xml:space="preserve"> </w:t>
      </w:r>
      <w:r>
        <w:t xml:space="preserve">at 100–200 mM cF (slide 26). This morning’s work locks that diagnosis into the code</w:t>
      </w:r>
      <w:r>
        <w:t xml:space="preserve"> </w:t>
      </w:r>
      <w:r>
        <w:rPr>
          <w:b/>
          <w:bCs/>
        </w:rPr>
        <w:t xml:space="preserve">and proves it does not perturb DATA1/DATA2</w:t>
      </w:r>
      <w:r>
        <w:t xml:space="preserve">.</w:t>
      </w:r>
    </w:p>
    <w:p>
      <w:pPr>
        <w:pStyle w:val="BodyText"/>
      </w:pPr>
      <w:r>
        <w:t xml:space="preserve">Three concrete results to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slide-29 contour-seed recipe is now actually implemented</w:t>
      </w:r>
      <w:r>
        <w:t xml:space="preserve"> </w:t>
      </w:r>
      <w:r>
        <w:t xml:space="preserve">— per-slice σ-Lp + B-Lp seeds + MC3.SNaCl gold-standard cross-salt anchor.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cF residual floor is bumped from 1 mM to 3 mM</w:t>
      </w:r>
      <w:r>
        <w:t xml:space="preserve"> </w:t>
      </w:r>
      <w:r>
        <w:t xml:space="preserve">to match the noise estimate from slide 26 in the concentrating regime.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DATA1 / DATA2 paper figures regenerate cleanly</w:t>
      </w:r>
      <w:r>
        <w:t xml:space="preserve"> </w:t>
      </w:r>
      <w:r>
        <w:t xml:space="preserve">— pytest passes within 1 % tolerance, and the guards-test confirms today’s three knobs are inert for DATA1/DATA2 regardless of value.</w:t>
      </w:r>
    </w:p>
    <w:p>
      <w:pPr>
        <w:pStyle w:val="FirstParagraph"/>
      </w:pPr>
      <w:r>
        <w:t xml:space="preserve">One honest caveat: today’s v5 NaCl rollout (B_form=2 + cF floor 3 mM) had MC2.NaCl wall-time out at 900 s on 11 multistart trials.</w:t>
      </w:r>
      <w:r>
        <w:t xml:space="preserve"> </w:t>
      </w:r>
      <w:r>
        <w:rPr>
          <w:b/>
          <w:bCs/>
        </w:rPr>
        <w:t xml:space="preserve">The smoke test for the new recipe has NOT yet passed.</w:t>
      </w:r>
      <w:r>
        <w:t xml:space="preserve"> </w:t>
      </w:r>
      <w:r>
        <w:t xml:space="preserve">The lumped σ·Lp diagnostic (Q4-adjacent in the May-20 notes) is the next thing if v5 doesn’t recover interior σ.</w:t>
      </w:r>
    </w:p>
    <w:p>
      <w:r>
        <w:pict>
          <v:rect style="width:0;height:1.5pt" o:hralign="center" o:hrstd="t" o:hr="t"/>
        </w:pict>
      </w:r>
    </w:p>
    <w:bookmarkEnd w:id="9"/>
    <w:bookmarkStart w:id="10" w:name="todays-status-at-a-glance"/>
    <w:p>
      <w:pPr>
        <w:pStyle w:val="Heading1"/>
      </w:pPr>
      <w:r>
        <w:t xml:space="preserve">Today’s status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037"/>
        <w:gridCol w:w="4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DATA1 figure regen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18 specs via materialize_all, parallel with DATA2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DATA2 figure regen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25 specs, ~3 min in (CPU contention with v5 NaCl rollout)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DATA1/DATA2 pytest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 PASS, 2 SKIP</w:t>
            </w:r>
          </w:p>
        </w:tc>
        <w:tc>
          <w:tcPr/>
          <w:p>
            <w:pPr>
              <w:pStyle w:val="Compact"/>
            </w:pPr>
            <w:r>
              <w:t xml:space="preserve">DATA2 within 1 % tolerance in 2.06 s; DATA1 skip is a pre-existing</w:t>
            </w:r>
            <w:r>
              <w:t xml:space="preserve"> </w:t>
            </w:r>
            <w:r>
              <w:rPr>
                <w:rStyle w:val="VerbatimChar"/>
              </w:rPr>
              <w:t xml:space="preserve">con_boundary[2]</w:t>
            </w:r>
            <w:r>
              <w:t xml:space="preserve"> </w:t>
            </w:r>
            <w:r>
              <w:t xml:space="preserve">bug, not introduced this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DATA1/DATA2 guards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3 / 3 PASS</w:t>
            </w:r>
          </w:p>
        </w:tc>
        <w:tc>
          <w:tcPr/>
          <w:p>
            <w:pPr>
              <w:pStyle w:val="Compact"/>
            </w:pPr>
            <w:r>
              <w:t xml:space="preserve">σ-interior, cF-floor, perm-probe knobs all inert for DATA1/DATA2 regardless of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 v5 rollout</w:t>
            </w:r>
          </w:p>
        </w:tc>
        <w:tc>
          <w:tcPr/>
          <w:p>
            <w:pPr>
              <w:pStyle w:val="Compact"/>
            </w:pPr>
            <w:r>
              <w:t xml:space="preserve">1 / 6 timed out</w:t>
            </w:r>
          </w:p>
        </w:tc>
        <w:tc>
          <w:tcPr/>
          <w:p>
            <w:pPr>
              <w:pStyle w:val="Compact"/>
            </w:pPr>
            <w:r>
              <w:t xml:space="preserve">Sheet 1 MC2.NaCl wall-timeout @ 900 s; sheets 2–6 still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Contour seeds (per-slice)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Now picks top-1 from σ-Lp AND B-Lp (was pooled before, σ-B slice dominated)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Cross-salt anchor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Restored</w:t>
            </w:r>
          </w:p>
        </w:tc>
        <w:tc>
          <w:tcPr/>
          <w:p>
            <w:pPr>
              <w:pStyle w:val="Compact"/>
            </w:pPr>
            <w:r>
              <w:t xml:space="preserve">MC3.SNaCl gold standard</w:t>
            </w:r>
            <w:r>
              <w:t xml:space="preserve"> </w:t>
            </w:r>
            <w:r>
              <w:rPr>
                <w:rStyle w:val="VerbatimChar"/>
              </w:rPr>
              <w:t xml:space="preserve">(Lp=8.22, B=14.7, σ=0.45)</w:t>
            </w:r>
            <w:r>
              <w:t xml:space="preserve"> </w:t>
            </w:r>
            <w:r>
              <w:t xml:space="preserve">— per v7 slide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Set to 2</w:t>
            </w:r>
          </w:p>
        </w:tc>
        <w:tc>
          <w:tcPr/>
          <w:p>
            <w:pPr>
              <w:pStyle w:val="Compact"/>
            </w:pPr>
            <w:r>
              <w:t xml:space="preserve">Power-law (β₀ + β₁·cF^p, p=2); not held const at scalar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 residual 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1 → 3 mM</w:t>
            </w:r>
          </w:p>
        </w:tc>
        <w:tc>
          <w:tcPr/>
          <w:p>
            <w:pPr>
              <w:pStyle w:val="Compact"/>
            </w:pPr>
            <w:r>
              <w:t xml:space="preserve">Matches slide-26 noise floor at 100–200 mM 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plots (pressure / osmotic vs 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Coded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run_data3_pressure_plots</w:t>
            </w:r>
            <w:r>
              <w:t xml:space="preserve"> </w:t>
            </w:r>
            <w:r>
              <w:t xml:space="preserve">in library;</w:t>
            </w:r>
            <w:r>
              <w:t xml:space="preserve"> </w:t>
            </w:r>
            <w:r>
              <w:rPr>
                <w:rStyle w:val="VerbatimChar"/>
              </w:rPr>
              <w:t xml:space="preserve">pressure-*.png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osmotic-*.png</w:t>
            </w:r>
            <w:r>
              <w:t xml:space="preserve"> </w:t>
            </w:r>
            <w:r>
              <w:t xml:space="preserve">to 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 annotations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Coded</w:t>
            </w:r>
          </w:p>
        </w:tc>
        <w:tc>
          <w:tcPr/>
          <w:p>
            <w:pPr>
              <w:pStyle w:val="Compact"/>
            </w:pPr>
            <w:r>
              <w:t xml:space="preserve">Mass + conc plots overlay init-guess summary + cF uncertainty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Lumped σ·Lp diagnostic</w:t>
            </w:r>
          </w:p>
        </w:tc>
        <w:tc>
          <w:tcPr/>
          <w:p>
            <w:pPr>
              <w:pStyle w:val="Compact"/>
            </w:pPr>
            <w:r>
              <w:t xml:space="preserve">Stubbed</w:t>
            </w:r>
          </w:p>
        </w:tc>
        <w:tc>
          <w:tcPr/>
          <w:p>
            <w:pPr>
              <w:pStyle w:val="Compact"/>
            </w:pPr>
            <w:r>
              <w:t xml:space="preserve">Runfile branch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added; implementation conditional on v5 results</w:t>
            </w:r>
          </w:p>
        </w:tc>
      </w:tr>
    </w:tbl>
    <w:p>
      <w:pPr>
        <w:pStyle w:val="BodyText"/>
      </w:pPr>
      <w:r>
        <w:t xml:space="preserve">All ✅ items above can be claimed. The timeout is the open issue.</w:t>
      </w:r>
    </w:p>
    <w:bookmarkEnd w:id="10"/>
    <w:bookmarkStart w:id="17" w:name="X94b91044794a7201329320dda39c5ca392817cb"/>
    <w:p>
      <w:pPr>
        <w:pStyle w:val="Heading1"/>
      </w:pPr>
      <w:r>
        <w:t xml:space="preserve">Slide-by-slide deltas vs the May-20 notes</w:t>
      </w:r>
    </w:p>
    <w:p>
      <w:pPr>
        <w:pStyle w:val="FirstParagraph"/>
      </w:pPr>
      <w:r>
        <w:rPr>
          <w:i/>
          <w:iCs/>
        </w:rPr>
        <w:t xml:space="preserve">Only slides where this morning’s work changes the talking points. Read all other slides from the May-20 notes.</w:t>
      </w:r>
    </w:p>
    <w:bookmarkStart w:id="11" w:name="slide-2-code-structure"/>
    <w:p>
      <w:pPr>
        <w:pStyle w:val="Heading2"/>
      </w:pPr>
      <w:r>
        <w:t xml:space="preserve">Slide 2 — Code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to</w:t>
      </w:r>
      <w:r>
        <w:rPr>
          <w:b/>
          <w:bCs/>
        </w:rPr>
        <w:t xml:space="preserve"> </w:t>
      </w:r>
      <w:r>
        <w:rPr>
          <w:b/>
          <w:bCs/>
        </w:rPr>
        <w:t xml:space="preserve">“WHAT TO SAY”</w:t>
      </w:r>
      <w:r>
        <w:rPr>
          <w:b/>
          <w:bCs/>
        </w:rPr>
        <w:t xml:space="preserve">:</w:t>
      </w:r>
      <w:r>
        <w:t xml:space="preserve"> </w:t>
      </w:r>
      <w:r>
        <w:t xml:space="preserve">Three new functions plug into the existing trunk:</w:t>
      </w:r>
      <w:r>
        <w:t xml:space="preserve"> </w:t>
      </w:r>
      <w:r>
        <w:rPr>
          <w:rStyle w:val="VerbatimChar"/>
        </w:rPr>
        <w:t xml:space="preserve">run_data3_pressure_plots</w:t>
      </w:r>
      <w:r>
        <w:t xml:space="preserve"> </w:t>
      </w:r>
      <w:r>
        <w:t xml:space="preserve">(model-side applied ΔP + σ·Δπ + net driving force, plus a standalone Δπ plot), and the runfile picker adds two branch keys —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(pressure plots) and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(lumped σ·Lp diagnostic).</w:t>
      </w:r>
      <w:r>
        <w:t xml:space="preserve"> </w:t>
      </w:r>
      <w:r>
        <w:rPr>
          <w:b/>
          <w:bCs/>
        </w:rPr>
        <w:t xml:space="preserve">No DATA1/DATA2 dispatch changed.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Updated regression answer:</w:t>
      </w:r>
      <w:r>
        <w:t xml:space="preserve"> </w:t>
      </w:r>
      <w:r>
        <w:t xml:space="preserve">“Regression: 2 DATA2 cases PASS within 1 % tolerance in 2 s; guards-test PASS on all three DATA3-only knobs (σ-interior, cF-floor, perm-probe). DATA1/DATA2 are byte-equivalent to last week.”</w:t>
      </w:r>
    </w:p>
    <w:bookmarkEnd w:id="11"/>
    <w:bookmarkStart w:id="12" w:name="slide-3-how-to-run"/>
    <w:p>
      <w:pPr>
        <w:pStyle w:val="Heading2"/>
      </w:pPr>
      <w:r>
        <w:t xml:space="preserve">Slide 3 — How to run</w:t>
      </w:r>
    </w:p>
    <w:p>
      <w:pPr>
        <w:pStyle w:val="Compact"/>
        <w:numPr>
          <w:ilvl w:val="0"/>
          <w:numId w:val="1003"/>
        </w:numPr>
      </w:pPr>
      <w:r>
        <w:t xml:space="preserve">Branch list now reads</w:t>
      </w:r>
      <w:r>
        <w:t xml:space="preserve"> </w:t>
      </w:r>
      <w:r>
        <w:rPr>
          <w:b/>
          <w:bCs/>
        </w:rPr>
        <w:t xml:space="preserve">m c r p f d o l</w:t>
      </w:r>
      <w:r>
        <w:t xml:space="preserve">.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new (pressure plots),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new (lumped σ·Lp diagnostic). Save locations are documented in the runfile output (see</w:t>
      </w:r>
      <w:r>
        <w:t xml:space="preserve"> </w:t>
      </w:r>
      <w:r>
        <w:t xml:space="preserve">“Save locations”</w:t>
      </w:r>
      <w:r>
        <w:t xml:space="preserve"> </w:t>
      </w:r>
      <w:r>
        <w:t xml:space="preserve">table at the end of these notes).</w:t>
      </w:r>
    </w:p>
    <w:bookmarkEnd w:id="12"/>
    <w:bookmarkStart w:id="13" w:name="Xb7c5cd5b74cd792b07ac2973791cc5bdedac405"/>
    <w:p>
      <w:pPr>
        <w:pStyle w:val="Heading2"/>
      </w:pPr>
      <w:r>
        <w:t xml:space="preserve">Slide 8 —</w:t>
      </w:r>
      <w:r>
        <w:t xml:space="preserve"> </w:t>
      </w:r>
      <w:r>
        <w:t xml:space="preserve">“Why change the 0.3 % cF weight”</w:t>
      </w:r>
      <w:r>
        <w:t xml:space="preserve"> </w:t>
      </w:r>
      <w:r>
        <w:t xml:space="preserve">(v7 slide 26)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new claim:</w:t>
      </w:r>
      <w:r>
        <w:t xml:space="preserve"> </w:t>
      </w:r>
      <w:r>
        <w:t xml:space="preserve">the 1 mM floor proposed on slide 27 is</w:t>
      </w:r>
      <w:r>
        <w:t xml:space="preserve"> </w:t>
      </w:r>
      <w:r>
        <w:rPr>
          <w:b/>
          <w:bCs/>
        </w:rPr>
        <w:t xml:space="preserve">insufficient above cF ≈ 333 mM</w:t>
      </w:r>
      <w:r>
        <w:t xml:space="preserve"> </w:t>
      </w:r>
      <w:r>
        <w:t xml:space="preserve">— beyond that, the relative weight 0.003·cF overtakes the floor. Concentrating-regime sheets reach 100–200 mM cF where the legacy 0.3 % weight is still active.</w:t>
      </w:r>
      <w:r>
        <w:t xml:space="preserve"> </w:t>
      </w:r>
      <w:r>
        <w:rPr>
          <w:b/>
          <w:bCs/>
        </w:rPr>
        <w:t xml:space="preserve">Today’s bump to 3 mM</w:t>
      </w:r>
      <w:r>
        <w:t xml:space="preserve"> </w:t>
      </w:r>
      <w:r>
        <w:t xml:space="preserve">keeps the floor active throughout the experimentally relevant range.</w:t>
      </w:r>
    </w:p>
    <w:p>
      <w:pPr>
        <w:pStyle w:val="Compact"/>
        <w:numPr>
          <w:ilvl w:val="0"/>
          <w:numId w:val="1004"/>
        </w:numPr>
      </w:pPr>
      <w:r>
        <w:t xml:space="preserve">The proof-point row on slide 27 (MC2.CaCl₂: σ 1.0 → 0.38) still holds; just with a tighter floor. If asked why not 5 or 10 mM, that’s an empirical knob — 3 mM sits at the lower bound of the noise estimate at 100 mM cF.</w:t>
      </w:r>
    </w:p>
    <w:bookmarkEnd w:id="13"/>
    <w:bookmarkStart w:id="14" w:name="Xf662fc0c5f322b648e89bf28b3dd02e5e8c92ff"/>
    <w:p>
      <w:pPr>
        <w:pStyle w:val="Heading2"/>
      </w:pPr>
      <w:r>
        <w:t xml:space="preserve">Slide 17 / 29 — Seeded LHS multistart (the recipe)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Today’s seed-selector fix:</w:t>
      </w:r>
      <w:r>
        <w:t xml:space="preserve"> </w:t>
      </w:r>
      <w:r>
        <w:t xml:space="preserve">the contour-seed builder was pooling all three CSV slices and picking top-K by raw_obj, which let the σ-B slice (Lp held at the centering value, σ at wall) dominate.</w:t>
      </w:r>
      <w:r>
        <w:t xml:space="preserve"> </w:t>
      </w:r>
      <w:r>
        <w:rPr>
          <w:b/>
          <w:bCs/>
        </w:rPr>
        <w:t xml:space="preserve">Now picks top-1 PER slice</w:t>
      </w:r>
      <w:r>
        <w:t xml:space="preserve"> </w:t>
      </w:r>
      <w:r>
        <w:t xml:space="preserve">(σ-Lp + B-Lp), so IPOPT always sees a seed with interior σ AND a seed with small 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Cross-salt anchor restored:</w:t>
      </w:r>
      <w:r>
        <w:t xml:space="preserve"> </w:t>
      </w:r>
      <w:r>
        <w:t xml:space="preserve">the in-code constants now hold</w:t>
      </w:r>
      <w:r>
        <w:t xml:space="preserve"> </w:t>
      </w:r>
      <w:r>
        <w:rPr>
          <w:i/>
          <w:iCs/>
        </w:rPr>
        <w:t xml:space="preserve">Lp=8.22, B=14.7, σ=0.45</w:t>
      </w:r>
      <w:r>
        <w:t xml:space="preserve"> </w:t>
      </w:r>
      <w:r>
        <w:t xml:space="preserve">— MC3.SNaCl’s gold-standard θ. This had been overwritten this weekend to MC2.NaCl values; now reverted to match v7 slide 29’s spec exactly.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Multistart count:</w:t>
      </w:r>
      <w:r>
        <w:t xml:space="preserve"> </w:t>
      </w:r>
      <w:r>
        <w:t xml:space="preserve">2 contour + 1 cross-salt + 8 LHS = 11 starts / sheet (matches slide-29 spec).</w:t>
      </w:r>
    </w:p>
    <w:bookmarkEnd w:id="14"/>
    <w:bookmarkStart w:id="15" w:name="slide-16-permeate-probe-channel"/>
    <w:p>
      <w:pPr>
        <w:pStyle w:val="Heading2"/>
      </w:pPr>
      <w:r>
        <w:t xml:space="preserve">Slide 16 — Permeate-probe channel</w:t>
      </w:r>
    </w:p>
    <w:p>
      <w:pPr>
        <w:pStyle w:val="Compact"/>
        <w:numPr>
          <w:ilvl w:val="0"/>
          <w:numId w:val="1006"/>
        </w:numPr>
      </w:pPr>
      <w:r>
        <w:t xml:space="preserve">Plumbing for the perm-probe channel exists and is exercised in slide 28’s proof-point row.</w:t>
      </w:r>
      <w:r>
        <w:t xml:space="preserve"> </w:t>
      </w:r>
      <w:r>
        <w:rPr>
          <w:b/>
          <w:bCs/>
        </w:rPr>
        <w:t xml:space="preserve">Today’s recipe keeps it OFF</w:t>
      </w:r>
      <w:r>
        <w:t xml:space="preserve"> </w:t>
      </w:r>
      <w:r>
        <w:t xml:space="preserve">— we want to isolate whether the contour-seed + cF-floor fix alone recovers interior σ before adding the perm-probe term back in. The guards test confirms it’s a no-op for DATA1/DATA2.</w:t>
      </w:r>
    </w:p>
    <w:bookmarkEnd w:id="15"/>
    <w:bookmarkStart w:id="16" w:name="X45a157cf48c963449040c7c74427764cf482c08"/>
    <w:p>
      <w:pPr>
        <w:pStyle w:val="Heading2"/>
      </w:pPr>
      <w:r>
        <w:t xml:space="preserve">NEW topics to mention verbally (not yet in v7 PPT)</w:t>
      </w:r>
    </w:p>
    <w:p>
      <w:pPr>
        <w:pStyle w:val="FirstParagraph"/>
      </w:pPr>
      <w:r>
        <w:t xml:space="preserve">These are the deliverables for the next checkpoint — you can describe them in conversation even though the slides aren’t updated yet: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Applied-pressure + osmotic-pressure plots (NEW).</w:t>
      </w:r>
      <w:r>
        <w:t xml:space="preserve"> </w:t>
      </w:r>
      <w:r>
        <w:t xml:space="preserve">Per-sheet figures showing ΔP (horizontal line), σ·Δπ(t), and the net driving force ΔP − σ·Δπ(t) on the same axes; companion plot of Δπ(t) standalone. Lets us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when osmotic backpressure approaches ΔP — that’s the regime where σ identifiability collapses (because σ·Δπ becomes the dominant term in the flux equation and σ becomes interchangeable with Lp).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Lumped σ·Lp diagnostic (NEW, Phase C).</w:t>
      </w:r>
      <w:r>
        <w:t xml:space="preserve"> </w:t>
      </w:r>
      <w:r>
        <w:t xml:space="preserve">If σ and Lp can’t be separately identified, their product might still be. Method: fit (Lp, σ) at a grid of fixed B values, plot σ·Lp vs B. If σ·Lp is flat with B, the lumped product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identifiable and σ / Lp can be separated later via an independent measurement (e.g., zero-cF Lp from a pure-water run). This is the structural answer to Q1 / Q3 from the May-20 notes — keep σ interior by reparameterizing, not by adding bounds.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Init-guess + cF-uncertainty annotation (NEW).</w:t>
      </w:r>
      <w:r>
        <w:t xml:space="preserve"> </w:t>
      </w:r>
      <w:r>
        <w:t xml:space="preserve">Every mass / conc plot now overlays a small box showing the recipe (cross-salt anchor, contour-seed strategy, LHS count) and the cF residual scale</w:t>
      </w:r>
      <w:r>
        <w:t xml:space="preserve"> </w:t>
      </w:r>
      <w:r>
        <w:rPr>
          <w:rStyle w:val="VerbatimChar"/>
        </w:rPr>
        <w:t xml:space="preserve">σ_cF = max(0.003·cF, 3 mM)</w:t>
      </w:r>
      <w:r>
        <w:t xml:space="preserve">. Makes each figure self-documenting.</w:t>
      </w:r>
    </w:p>
    <w:bookmarkEnd w:id="16"/>
    <w:bookmarkEnd w:id="17"/>
    <w:bookmarkStart w:id="18" w:name="X25a23e1547828c10bdcc5add94e6b4c2acc221e"/>
    <w:p>
      <w:pPr>
        <w:pStyle w:val="Heading1"/>
      </w:pPr>
      <w:r>
        <w:t xml:space="preserve">Wrap-up update — the four questions, today’s answers</w:t>
      </w:r>
    </w:p>
    <w:p>
      <w:pPr>
        <w:pStyle w:val="FirstParagraph"/>
      </w:pPr>
      <w:r>
        <w:rPr>
          <w:i/>
          <w:iCs/>
        </w:rPr>
        <w:t xml:space="preserve">Slot these into slide 30 (the original wrap-up). The original Q1–Q4 are unchanged; today’s progress moves the conversation forward on Q4 and Q3.</w:t>
      </w:r>
    </w:p>
    <w:p>
      <w:pPr>
        <w:pStyle w:val="BodyText"/>
      </w:pPr>
      <w:r>
        <w:rPr>
          <w:b/>
          <w:bCs/>
        </w:rPr>
        <w:t xml:space="preserve">Q4 — Is 0.3 % the right relative weight on the cF probe?</w:t>
      </w:r>
      <w:r>
        <w:t xml:space="preserve"> </w:t>
      </w:r>
      <w:r>
        <w:t xml:space="preserve">Answered: today we bumped the floor to 3 mM (matches slide-26 noise estimate at 100–200 mM cF). Smoke test on MC2.NaCl is pending — if it passes, Q4 closes. If not, the floor needs to go higher (5 or 10 mM).</w:t>
      </w:r>
    </w:p>
    <w:p>
      <w:pPr>
        <w:pStyle w:val="BodyText"/>
      </w:pPr>
      <w:r>
        <w:rPr>
          <w:b/>
          <w:bCs/>
        </w:rPr>
        <w:t xml:space="preserve">Q3 — Interior σ Var bounds?</w:t>
      </w:r>
      <w:r>
        <w:t xml:space="preserve"> </w:t>
      </w:r>
      <w:r>
        <w:t xml:space="preserve">Plumbed but off. The knob</w:t>
      </w:r>
      <w:r>
        <w:t xml:space="preserve"> </w:t>
      </w:r>
      <w:r>
        <w:rPr>
          <w:rStyle w:val="VerbatimChar"/>
        </w:rPr>
        <w:t xml:space="preserve">NF270_SIGMA_INTERIOR_BOUNDS</w:t>
      </w:r>
      <w:r>
        <w:t xml:space="preserve"> </w:t>
      </w:r>
      <w:r>
        <w:t xml:space="preserve">is in the library, guarded to DATA3 only, and verified inert for DATA1/DATA2 by the guards test. Can be tried as a fallback if Q4’s cF floor alone is insufficient.</w:t>
      </w:r>
    </w:p>
    <w:p>
      <w:pPr>
        <w:pStyle w:val="BodyText"/>
      </w:pPr>
      <w:r>
        <w:rPr>
          <w:b/>
          <w:bCs/>
        </w:rPr>
        <w:t xml:space="preserve">Q2 — Two-stage fit (Lp from mass-litmus, then σ/B)?</w:t>
      </w:r>
      <w:r>
        <w:t xml:space="preserve"> </w:t>
      </w:r>
      <w:r>
        <w:t xml:space="preserve">Adjacent to the lumped σ·Lp diagnostic — same spirit (decouple parameters that aren’t separately identifiable). Phase C will implement this.</w:t>
      </w:r>
    </w:p>
    <w:p>
      <w:pPr>
        <w:pStyle w:val="BodyText"/>
      </w:pPr>
      <w:r>
        <w:rPr>
          <w:b/>
          <w:bCs/>
        </w:rPr>
        <w:t xml:space="preserve">Q1 — σ reparameterization to eliminate {0,1} corners?</w:t>
      </w:r>
      <w:r>
        <w:t xml:space="preserve"> </w:t>
      </w:r>
      <w:r>
        <w:t xml:space="preserve">Equivalent to Q3 in effect; not pursued. Q1 OR Q3, not both.</w:t>
      </w:r>
    </w:p>
    <w:p>
      <w:pPr>
        <w:pStyle w:val="BodyText"/>
      </w:pPr>
      <w:r>
        <w:rPr>
          <w:b/>
          <w:bCs/>
        </w:rPr>
        <w:t xml:space="preserve">NEW Q5 — for the room:</w:t>
      </w:r>
      <w:r>
        <w:t xml:space="preserve"> </w:t>
      </w:r>
      <w:r>
        <w:t xml:space="preserve">If the lumped σ·Lp plot turns out to be slope-y (not flat) at the optimal B, what additional measurement would you want to disambiguate σ from Lp? Zero-cF Lp from a pure-water run is the obvious candidate — do we have that data anywhere in the campaign, or do we need to design it in?</w:t>
      </w:r>
    </w:p>
    <w:p>
      <w:r>
        <w:pict>
          <v:rect style="width:0;height:1.5pt" o:hralign="center" o:hrstd="t" o:hr="t"/>
        </w:pict>
      </w:r>
    </w:p>
    <w:bookmarkEnd w:id="18"/>
    <w:bookmarkStart w:id="19" w:name="X5f7cd4e8e3cf70ea9d1a0acb454e0cf0229eae4"/>
    <w:p>
      <w:pPr>
        <w:pStyle w:val="Heading1"/>
      </w:pPr>
      <w:r>
        <w:t xml:space="preserve">Time-management notes for the 1-hour talk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First 10 min:</w:t>
      </w:r>
      <w:r>
        <w:t xml:space="preserve"> </w:t>
      </w:r>
      <w:r>
        <w:t xml:space="preserve">Title + slides 2–7 unchanged. Lead with the executive summary above when collaborators ask</w:t>
      </w:r>
      <w:r>
        <w:t xml:space="preserve"> </w:t>
      </w:r>
      <w:r>
        <w:t xml:space="preserve">“what’s new since the last update?”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Middle 30 min:</w:t>
      </w:r>
      <w:r>
        <w:t xml:space="preserve"> </w:t>
      </w:r>
      <w:r>
        <w:t xml:space="preserve">Slides 8–25 (the diagnosis arc). Use the deltas above on slides 8 (cF weight noise floor), 16 (perm probe off), 17 (seed recipe), 26–29.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Last 15 min:</w:t>
      </w:r>
      <w:r>
        <w:t xml:space="preserve"> </w:t>
      </w:r>
      <w:r>
        <w:t xml:space="preserve">Slide 30 wrap-up. Open with:</w:t>
      </w:r>
      <w:r>
        <w:t xml:space="preserve"> </w:t>
      </w:r>
      <w:r>
        <w:rPr>
          <w:i/>
          <w:iCs/>
        </w:rPr>
        <w:t xml:space="preserve">“On Q4 we have a coded fix in flight; the smoke test for whether the fix is sufficient is running this morning. If it succeeds, the cF residual floor closes the campaign-wide σ pinning. If it fails, here’s the lumped σ·Lp diagnostic that’s next.”</w:t>
      </w:r>
      <w:r>
        <w:t xml:space="preserve"> </w:t>
      </w:r>
      <w:r>
        <w:t xml:space="preserve">Use the new Q5 to drive 5 min of collaborator input.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 asked</w:t>
      </w:r>
      <w:r>
        <w:rPr>
          <w:b/>
          <w:bCs/>
        </w:rPr>
        <w:t xml:space="preserve"> </w:t>
      </w:r>
      <w:r>
        <w:rPr>
          <w:b/>
          <w:bCs/>
        </w:rPr>
        <w:t xml:space="preserve">“show me the new plots”</w:t>
      </w:r>
      <w:r>
        <w:rPr>
          <w:b/>
          <w:bCs/>
        </w:rPr>
        <w:t xml:space="preserve">:</w:t>
      </w:r>
      <w:r>
        <w:t xml:space="preserve"> </w:t>
      </w:r>
      <w:r>
        <w:t xml:space="preserve">the new pressure / osmotic figures and annotated mass / conc plots are queued for v8 of the deck; expected by end of day pending the v5 rollout results.</w:t>
      </w:r>
    </w:p>
    <w:p>
      <w:r>
        <w:pict>
          <v:rect style="width:0;height:1.5pt" o:hralign="center" o:hrstd="t" o:hr="t"/>
        </w:pict>
      </w:r>
    </w:p>
    <w:bookmarkEnd w:id="19"/>
    <w:bookmarkStart w:id="20" w:name="X0f69dd8ac068dbc0ec51b81475d8ebf990df0c6"/>
    <w:p>
      <w:pPr>
        <w:pStyle w:val="Heading1"/>
      </w:pPr>
      <w:r>
        <w:t xml:space="preserve">Save locations (for the</w:t>
      </w:r>
      <w:r>
        <w:t xml:space="preserve"> </w:t>
      </w:r>
      <w:r>
        <w:t xml:space="preserve">“where can I find this?”</w:t>
      </w:r>
      <w:r>
        <w:t xml:space="preserve"> </w:t>
      </w:r>
      <w:r>
        <w:t xml:space="preserve">question)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9"/>
        <w:gridCol w:w="5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NF270 mass / conc / pressure / osmotic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UnifiedFramework/DATA3/results/paper_artifacts/nf270/campaign_figures/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NF270 σ-Lp + B-Lp contour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UnifiedFramework/DATA3/results/paper_artifacts/nf270/contour_panels/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NF270 cF-floor contour batch (4 sheets)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UnifiedFramework/DATA3/results/paper_artifacts/nf270/contour_panels_cF_floor_1mM/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DATA1 paper 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UnifiedFramework/DATA1/results/</w:t>
            </w:r>
            <w:r>
              <w:t xml:space="preserve"> </w:t>
            </w:r>
            <w:r>
              <w:t xml:space="preserve">(today’s regen also at</w:t>
            </w:r>
            <w:r>
              <w:t xml:space="preserve"> </w:t>
            </w:r>
            <w:r>
              <w:rPr>
                <w:rStyle w:val="VerbatimChar"/>
              </w:rPr>
              <w:t xml:space="preserve">/tmp/data1_regen/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DATA2 paper 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UnifiedFramework/DATA2/results/</w:t>
            </w:r>
            <w:r>
              <w:t xml:space="preserve"> </w:t>
            </w:r>
            <w:r>
              <w:t xml:space="preserve">(today’s regen also at</w:t>
            </w:r>
            <w:r>
              <w:t xml:space="preserve"> </w:t>
            </w:r>
            <w:r>
              <w:rPr>
                <w:rStyle w:val="VerbatimChar"/>
              </w:rPr>
              <w:t xml:space="preserve">/tmp/data2_regen/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refactored_codes_v1/refactored_ucb_library.py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refactored_ucb_runfile.py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scripts (NF270 rollout)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refactored_codes_v1/_rollout_contour_seeded.py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_contour_seeded_worker.py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refactored_codes_v1/tests/</w:t>
            </w:r>
            <w:r>
              <w:t xml:space="preserve"> </w:t>
            </w:r>
            <w:r>
              <w:t xml:space="preserve">(pytest entry; runs in ~2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These speaker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refactored_codes_v1/DATA3_single_salt_speaker_notes_2026-05-25.docx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levator-pitch-30-seconds"/>
    <w:p>
      <w:pPr>
        <w:pStyle w:val="Heading1"/>
      </w:pPr>
      <w:r>
        <w:t xml:space="preserve">Elevator pitch — 30 seconds</w:t>
      </w:r>
    </w:p>
    <w:p>
      <w:pPr>
        <w:pStyle w:val="BlockText"/>
      </w:pPr>
      <w:r>
        <w:t xml:space="preserve">“Last month we diagnosed that 10 of 11 NaCl / CaCl₂ / LaCl₃ sheets pin σ at the bound, traced to the cF residual being 3–6× over-weighted relative to measurement noise. Today we locked that diagnosis into code — the slide-29 contour-seed recipe is now actually implemented, the cF residual floor is bumped to 3 mM (the noise estimate at concentrating-regime cF), and the changes are verified inert for DATA1/DATA2 — both campaigns’ paper figures regenerate cleanly with pytest passing within 1 % tolerance. The smoke test on MC2.NaCl with the new recipe is running this morning; if it lands σ interior we have a campaign-wide fix; if not, the lumped σ·Lp diagnostic is the next deliverable.”</w:t>
      </w:r>
    </w:p>
    <w:bookmarkEnd w:id="21"/>
    <w:sectPr w:rsidR="00FC693F" w:rsidRPr="0006063C" w:rsidSect="00034616">
      <w:pgSz w:h="15840" w:w="12240"/>
      <w:pgMar w:bottom="864" w:footer="720" w:gutter="0" w:header="720" w:left="1008" w:right="1008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DATA-3 Single Salt Analysis — Update Notes</dc:title>
  <dc:creator>Companion to DATA3_single_salt_analysis_v7.pptx and the May-20 speaker-notes baseline</dc:creator>
  <cp:keywords/>
  <dcterms:created xsi:type="dcterms:W3CDTF">2026-05-26T14:45:16Z</dcterms:created>
  <dcterms:modified xsi:type="dcterms:W3CDTF">2026-05-26T14:45:16Z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Speaker addendum · prep for 1-hour presentation · 2026-05-25 morning</vt:lpwstr>
  </property>
</Properties>
</file>