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our only revenue is a </w:t>
      </w:r>
      <w:r>
        <w:rPr>
          <w:b/>
          <w:color w:val="16241C"/>
          <w:sz w:val="21"/>
        </w:rPr>
        <w:t>monthly service fee</w:t>
      </w:r>
      <w:r>
        <w:rPr>
          <w:b w:val="0"/>
          <w:color w:val="16241C"/>
          <w:sz w:val="21"/>
        </w:rPr>
        <w:t xml:space="preserve"> with software-level margins. The product is </w:t>
      </w:r>
      <w:r>
        <w:rPr>
          <w:b/>
          <w:color w:val="16241C"/>
          <w:sz w:val="21"/>
        </w:rPr>
        <w:t>built and live, developed by the founder solo</w:t>
      </w:r>
      <w:r>
        <w:rPr>
          <w:b w:val="0"/>
          <w:color w:val="16241C"/>
          <w:sz w:val="21"/>
        </w:rPr>
        <w:t xml:space="preserve">. We are pre-revenue, raising </w:t>
      </w:r>
      <w:r>
        <w:rPr>
          <w:b/>
          <w:color w:val="16241C"/>
          <w:sz w:val="21"/>
        </w:rPr>
        <w:t>$50,000 to $100,000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 to 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The founder built it as a working product, live today; each step runs in software without manual intervention. A restaurant can run a free instant audit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Cost to serve one restaurant: about $130/month</w:t>
      </w:r>
      <w:r>
        <w:rPr>
          <w:b w:val="0"/>
          <w:color w:val="16241C"/>
          <w:sz w:val="21"/>
        </w:rPr>
        <w:t xml:space="preserve">, for a gross margin near </w:t>
      </w:r>
      <w:r>
        <w:rPr>
          <w:b/>
          <w:color w:val="16241C"/>
          <w:sz w:val="21"/>
        </w:rPr>
        <w:t>85%</w:t>
      </w:r>
      <w:r>
        <w:rPr>
          <w:b w:val="0"/>
          <w:color w:val="16241C"/>
          <w:sz w:val="21"/>
        </w:rPr>
        <w:t xml:space="preserve"> (about $766/month of gross profit). The components:</w:t>
      </w:r>
    </w:p>
    <w:p>
      <w:pPr>
        <w:pStyle w:val="ListBullet"/>
        <w:spacing w:after="40"/>
        <w:ind w:left="936"/>
      </w:pPr>
      <w:r>
        <w:rPr>
          <w:b w:val="0"/>
          <w:color w:val="16241C"/>
          <w:sz w:val="20"/>
        </w:rPr>
        <w:t xml:space="preserve">Agent tokens on the </w:t>
      </w:r>
      <w:r>
        <w:rPr>
          <w:b/>
          <w:color w:val="16241C"/>
          <w:sz w:val="20"/>
        </w:rPr>
        <w:t>Anthropic Claude API</w:t>
      </w:r>
      <w:r>
        <w:rPr>
          <w:b w:val="0"/>
          <w:color w:val="16241C"/>
          <w:sz w:val="20"/>
        </w:rPr>
        <w:t>, about $45 (farm matching, drafting and negotiating contracts, monthly audits, and specials).</w:t>
      </w:r>
    </w:p>
    <w:p>
      <w:pPr>
        <w:pStyle w:val="ListBullet"/>
        <w:spacing w:after="40"/>
        <w:ind w:left="936"/>
      </w:pPr>
      <w:r>
        <w:rPr>
          <w:b w:val="0"/>
          <w:color w:val="16241C"/>
          <w:sz w:val="20"/>
        </w:rPr>
        <w:t xml:space="preserve">Payments and escrow on </w:t>
      </w:r>
      <w:r>
        <w:rPr>
          <w:b/>
          <w:color w:val="16241C"/>
          <w:sz w:val="20"/>
        </w:rPr>
        <w:t>Stripe Connect</w:t>
      </w:r>
      <w:r>
        <w:rPr>
          <w:b w:val="0"/>
          <w:color w:val="16241C"/>
          <w:sz w:val="20"/>
        </w:rPr>
        <w:t>, about $50 (card processing on the service fee; food held in escrow moves over ACH to keep fees low).</w:t>
      </w:r>
    </w:p>
    <w:p>
      <w:pPr>
        <w:pStyle w:val="ListBullet"/>
        <w:spacing w:after="40"/>
        <w:ind w:left="936"/>
      </w:pPr>
      <w:r>
        <w:rPr>
          <w:b w:val="0"/>
          <w:color w:val="16241C"/>
          <w:sz w:val="20"/>
        </w:rPr>
        <w:t xml:space="preserve">Database, auth, and hosting on </w:t>
      </w:r>
      <w:r>
        <w:rPr>
          <w:b/>
          <w:color w:val="16241C"/>
          <w:sz w:val="20"/>
        </w:rPr>
        <w:t>Supabase and Vercel</w:t>
      </w:r>
      <w:r>
        <w:rPr>
          <w:b w:val="0"/>
          <w:color w:val="16241C"/>
          <w:sz w:val="20"/>
        </w:rPr>
        <w:t>, about $15.</w:t>
      </w:r>
    </w:p>
    <w:p>
      <w:pPr>
        <w:pStyle w:val="ListBullet"/>
        <w:spacing w:after="40"/>
        <w:ind w:left="936"/>
      </w:pPr>
      <w:r>
        <w:rPr>
          <w:b w:val="0"/>
          <w:color w:val="16241C"/>
          <w:sz w:val="20"/>
        </w:rPr>
        <w:t>Light human oversight, about $20.</w:t>
      </w:r>
    </w:p>
    <w:p>
      <w:pPr>
        <w:pStyle w:val="ListBullet"/>
        <w:spacing w:after="40"/>
        <w:ind w:left="936"/>
      </w:pPr>
      <w:r>
        <w:rPr>
          <w:b w:val="0"/>
          <w:color w:val="16241C"/>
          <w:sz w:val="20"/>
        </w:rPr>
        <w:t xml:space="preserve">Delivery runs through a </w:t>
      </w:r>
      <w:r>
        <w:rPr>
          <w:b/>
          <w:color w:val="16241C"/>
          <w:sz w:val="20"/>
        </w:rPr>
        <w:t>third-party courier API (for example Uber Direct)</w:t>
      </w:r>
      <w:r>
        <w:rPr>
          <w:b w:val="0"/>
          <w:color w:val="16241C"/>
          <w:sz w:val="20"/>
        </w:rPr>
        <w:t xml:space="preserve"> and is billed through to the restaurant at cost, so it is not a margin cost to us.</w:t>
      </w:r>
    </w:p>
    <w:p>
      <w:pPr>
        <w:pStyle w:val="ListBullet"/>
        <w:spacing w:after="60"/>
      </w:pPr>
      <w:r>
        <w:rPr>
          <w:b/>
          <w:color w:val="16241C"/>
          <w:sz w:val="21"/>
        </w:rPr>
        <w:t>CAC: about $450 per restaurant</w:t>
      </w:r>
      <w:r>
        <w:rPr>
          <w:b w:val="0"/>
          <w:color w:val="16241C"/>
          <w:sz w:val="21"/>
        </w:rPr>
        <w:t xml:space="preserve"> = a sales commission of about $400, plus one week of operating cost (agent tokens and delivery, about $50) for the free first ingredient.</w:t>
      </w:r>
    </w:p>
    <w:p>
      <w:pPr>
        <w:pStyle w:val="ListBullet"/>
        <w:spacing w:after="60"/>
      </w:pPr>
      <w:r>
        <w:rPr>
          <w:b/>
          <w:color w:val="16241C"/>
          <w:sz w:val="21"/>
        </w:rPr>
        <w:t>Payback:</w:t>
      </w:r>
      <w:r>
        <w:rPr>
          <w:b w:val="0"/>
          <w:color w:val="16241C"/>
          <w:sz w:val="21"/>
        </w:rPr>
        <w:t xml:space="preserve"> under one month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in order:</w:t>
      </w:r>
    </w:p>
    <w:p>
      <w:pPr>
        <w:pStyle w:val="ListNumber"/>
        <w:spacing w:after="80"/>
      </w:pPr>
      <w:r>
        <w:rPr>
          <w:b/>
          <w:color w:val="16241C"/>
          <w:sz w:val="21"/>
        </w:rPr>
        <w:t>Onboard the farms.</w:t>
      </w:r>
      <w:r>
        <w:rPr>
          <w:b w:val="0"/>
          <w:color w:val="16241C"/>
          <w:sz w:val="21"/>
        </w:rPr>
        <w:t xml:space="preserve"> Pre-sign 8 to 12 vetted local farms across the core crops so supply and fill are guaranteed before we sell a single restaurant. This removes the cold-start problem.</w:t>
      </w:r>
    </w:p>
    <w:p>
      <w:pPr>
        <w:pStyle w:val="ListNumber"/>
        <w:spacing w:after="80"/>
      </w:pPr>
      <w:r>
        <w:rPr>
          <w:b/>
          <w:color w:val="16241C"/>
          <w:sz w:val="21"/>
        </w:rPr>
        <w:t>Show restaurants their savings.</w:t>
      </w:r>
      <w:r>
        <w:rPr>
          <w:b w:val="0"/>
          <w:color w:val="16241C"/>
          <w:sz w:val="21"/>
        </w:rPr>
        <w:t xml:space="preserve"> For each target we run the free audit on their public menu and bring a specific, quantified estimate of the money they could save and the margin they are leaving behind.</w:t>
      </w:r>
    </w:p>
    <w:p>
      <w:pPr>
        <w:pStyle w:val="ListNumber"/>
        <w:spacing w:after="80"/>
      </w:pPr>
      <w:r>
        <w:rPr>
          <w:b/>
          <w:color w:val="16241C"/>
          <w:sz w:val="21"/>
        </w:rPr>
        <w:t>Win them with a risk-free offer.</w:t>
      </w:r>
      <w:r>
        <w:rPr>
          <w:b w:val="0"/>
          <w:color w:val="16241C"/>
          <w:sz w:val="21"/>
        </w:rPr>
        <w:t xml:space="preserve"> First ingredient free, free ten-minute setup, cancel any month, backed by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offers done-for-you local sourcing for restaurants.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20" w:after="60"/>
      </w:pPr>
      <w:r>
        <w:rPr>
          <w:b/>
          <w:color w:val="235C3A"/>
          <w:sz w:val="24"/>
        </w:rPr>
        <w:t>Team</w:t>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Early sales are led by a </w:t>
      </w:r>
      <w:r>
        <w:rPr>
          <w:b/>
          <w:color w:val="16241C"/>
          <w:sz w:val="21"/>
        </w:rPr>
        <w:t>part-time, commissioned salesperson</w:t>
      </w:r>
      <w:r>
        <w:rPr>
          <w:b w:val="0"/>
          <w:color w:val="16241C"/>
          <w:sz w:val="21"/>
        </w:rPr>
        <w:t xml:space="preserve"> with existing relationships in the local restaurant scene.</w:t>
      </w:r>
    </w:p>
    <w:p>
      <w:pPr>
        <w:spacing w:after="80"/>
      </w:pPr>
      <w:r>
        <w:rPr>
          <w:b w:val="0"/>
          <w:color w:val="5B6B60"/>
          <w:sz w:val="19"/>
        </w:rPr>
        <w:t>To complete before sending: the salesperson's name and relationships, and one concrete figure from your climate-migration research.</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 to $100,000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 within 90 days</w:t>
      </w:r>
      <w:r>
        <w:rPr>
          <w:b w:val="0"/>
          <w:color w:val="16241C"/>
          <w:sz w:val="21"/>
        </w:rPr>
        <w:t>, the proof point to raise a priced seed.</w:t>
      </w:r>
    </w:p>
    <w:p>
      <w:pPr>
        <w:spacing w:before="280"/>
      </w:pPr>
      <w:r>
        <w:rPr>
          <w:b w:val="0"/>
          <w:color w:val="5B6B60"/>
          <w:sz w:val="17"/>
        </w:rPr>
        <w:t>Sources.  1. Restaurant net-margin and prime-cost benchmarks: National Restaurant Association; Restaurant365 industry benchmarks.  2. National Restaurant Association, 2022 State of the Restaurant Industry.  3. FMI, transparency and foodservice trends, 2023.  4. National Restaurant Association, 2024 industry forecast.  5. U.S. and Indianapolis target-segment restaurant counts and the revenue estimates derived from them are internal estimates.  6. Valuations are peak reported figures from press and PitchBook: Misfits Market (about $2B, 2021) and Choco (about $1.2B, 2022); Afresh has raised about $148M.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