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The first hire this round funds is a </w:t>
      </w:r>
      <w:r>
        <w:rPr>
          <w:b/>
          <w:color w:val="16241C"/>
          <w:sz w:val="21"/>
        </w:rPr>
        <w:t>Head of Sourcing</w:t>
      </w:r>
      <w:r>
        <w:rPr>
          <w:b w:val="0"/>
          <w:color w:val="16241C"/>
          <w:sz w:val="21"/>
        </w:rPr>
        <w:t xml:space="preserve">, who builds and manages the local farm supply and uses existing restaurant relationships to open doors. The strongest candidates are </w:t>
      </w:r>
      <w:r>
        <w:rPr>
          <w:b/>
          <w:color w:val="16241C"/>
          <w:sz w:val="21"/>
        </w:rPr>
        <w:t>produce-distributor sales reps or territory managers</w:t>
      </w:r>
      <w:r>
        <w:rPr>
          <w:b w:val="0"/>
          <w:color w:val="16241C"/>
          <w:sz w:val="21"/>
        </w:rPr>
        <w:t xml:space="preserve"> (for example at a regional distributor such as Piazza Produce in Indianapolis) and </w:t>
      </w:r>
      <w:r>
        <w:rPr>
          <w:b/>
          <w:color w:val="16241C"/>
          <w:sz w:val="21"/>
        </w:rPr>
        <w:t>food-hub or farm-cooperative managers</w:t>
      </w:r>
      <w:r>
        <w:rPr>
          <w:b w:val="0"/>
          <w:color w:val="16241C"/>
          <w:sz w:val="21"/>
        </w:rPr>
        <w:t>, who already carry a book of restaurant accounts and know the local growers. A modest base plus meaningful equity is attractive to a strong rep ready to trade a commission grind for ownership.</w:t>
      </w:r>
    </w:p>
    <w:p>
      <w:pPr>
        <w:spacing w:after="80"/>
      </w:pPr>
      <w:r>
        <w:rPr>
          <w:b w:val="0"/>
          <w:color w:val="5B6B60"/>
          <w:sz w:val="19"/>
        </w:rPr>
        <w:t>To complete before sending: one concrete figure from your climate-migration research, and the name of a sourcing hire if you have one lined up.</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 within 90 days</w:t>
      </w:r>
      <w:r>
        <w:rPr>
          <w:b w:val="0"/>
          <w:color w:val="16241C"/>
          <w:sz w:val="21"/>
        </w:rPr>
        <w:t>, the proof point to raise a priced seed.</w:t>
      </w:r>
    </w:p>
    <w:p>
      <w:pPr>
        <w:spacing w:before="280"/>
      </w:pPr>
      <w:r>
        <w:rPr>
          <w:b w:val="0"/>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