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color w:val="16241C"/>
          <w:sz w:val="38"/>
        </w:rPr>
        <w:t>CropConnect — Investor Pre-Read</w:t>
      </w:r>
    </w:p>
    <w:p>
      <w:pPr>
        <w:spacing w:before="220" w:after="60"/>
      </w:pPr>
      <w:r>
        <w:rPr>
          <w:b/>
          <w:color w:val="235C3A"/>
          <w:sz w:val="24"/>
        </w:rPr>
        <w:t>Summary</w:t>
      </w:r>
    </w:p>
    <w:p>
      <w:pPr>
        <w:jc w:val="both"/>
      </w:pPr>
      <w:r>
        <w:rPr>
          <w:b w:val="0"/>
          <w:color w:val="16241C"/>
          <w:sz w:val="21"/>
        </w:rPr>
        <w:t xml:space="preserve">CropConnect is an AI agent that runs local sourcing for restaurants end to end: it finds the farms, signs the contracts, runs weekly delivery, holds payment in escrow, and tracks the added margin. The owner does two things — ask, and put the dish on the menu. Diners increasingly choose restaurants for local food, but sourcing it by hand is a second full-time job, so most independents skip it; an AI agent makes that work cheap enough to do for them. The product is built and live. We are </w:t>
      </w:r>
      <w:r>
        <w:rPr>
          <w:b/>
          <w:color w:val="16241C"/>
          <w:sz w:val="21"/>
        </w:rPr>
        <w:t>pre-revenue</w:t>
      </w:r>
      <w:r>
        <w:rPr>
          <w:b w:val="0"/>
          <w:color w:val="16241C"/>
          <w:sz w:val="21"/>
        </w:rPr>
        <w:t xml:space="preserve">, raising </w:t>
      </w:r>
      <w:r>
        <w:rPr>
          <w:b/>
          <w:color w:val="16241C"/>
          <w:sz w:val="21"/>
        </w:rPr>
        <w:t>$50,000–$100,000</w:t>
      </w:r>
      <w:r>
        <w:rPr>
          <w:b w:val="0"/>
          <w:color w:val="16241C"/>
          <w:sz w:val="21"/>
        </w:rPr>
        <w:t xml:space="preserve"> on a SAFE to land the first </w:t>
      </w:r>
      <w:r>
        <w:rPr>
          <w:b/>
          <w:color w:val="16241C"/>
          <w:sz w:val="21"/>
        </w:rPr>
        <w:t>15 paying kitchens in Indianapolis</w:t>
      </w:r>
      <w:r>
        <w:rPr>
          <w:b w:val="0"/>
          <w:color w:val="16241C"/>
          <w:sz w:val="21"/>
        </w:rPr>
        <w:t>.</w:t>
      </w:r>
    </w:p>
    <w:p>
      <w:pPr>
        <w:spacing w:before="220" w:after="60"/>
      </w:pPr>
      <w:r>
        <w:rPr>
          <w:b/>
          <w:color w:val="235C3A"/>
          <w:sz w:val="24"/>
        </w:rPr>
        <w:t>Market and Timing</w:t>
      </w:r>
    </w:p>
    <w:p>
      <w:pPr>
        <w:jc w:val="both"/>
      </w:pPr>
      <w:r>
        <w:rPr>
          <w:b w:val="0"/>
          <w:color w:val="16241C"/>
          <w:sz w:val="21"/>
        </w:rPr>
        <w:t xml:space="preserve">Independent full-service restaurants net about </w:t>
      </w:r>
      <w:r>
        <w:rPr>
          <w:b/>
          <w:color w:val="16241C"/>
          <w:sz w:val="21"/>
        </w:rPr>
        <w:t>3–5% of revenue</w:t>
      </w:r>
      <w:r>
        <w:rPr>
          <w:b w:val="0"/>
          <w:color w:val="16241C"/>
          <w:sz w:val="21"/>
        </w:rPr>
        <w:t xml:space="preserve">, with food and labor consuming roughly </w:t>
      </w:r>
      <w:r>
        <w:rPr>
          <w:b/>
          <w:color w:val="16241C"/>
          <w:sz w:val="21"/>
        </w:rPr>
        <w:t>60 cents of every dollar</w:t>
      </w:r>
      <w:r>
        <w:rPr>
          <w:b w:val="0"/>
          <w:color w:val="16241C"/>
          <w:sz w:val="21"/>
        </w:rPr>
        <w:t>.</w:t>
      </w:r>
      <w:r>
        <w:rPr>
          <w:color w:val="235C3A"/>
          <w:sz w:val="14"/>
          <w:vertAlign w:val="superscript"/>
        </w:rPr>
        <w:t>1</w:t>
      </w:r>
      <w:r>
        <w:rPr>
          <w:b w:val="0"/>
          <w:color w:val="16241C"/>
          <w:sz w:val="21"/>
        </w:rPr>
        <w:t xml:space="preserve"> There is little to cut, so growth has to come from charging more for the same seats. Local sourcing is how kitchens do that: </w:t>
      </w:r>
      <w:r>
        <w:rPr>
          <w:b/>
          <w:color w:val="16241C"/>
          <w:sz w:val="21"/>
        </w:rPr>
        <w:t>38% of U.S. diners</w:t>
      </w:r>
      <w:r>
        <w:rPr>
          <w:b w:val="0"/>
          <w:color w:val="16241C"/>
          <w:sz w:val="21"/>
        </w:rPr>
        <w:t xml:space="preserve"> are more likely to choose a restaurant offering locally sourced food,</w:t>
      </w:r>
      <w:r>
        <w:rPr>
          <w:color w:val="235C3A"/>
          <w:sz w:val="14"/>
          <w:vertAlign w:val="superscript"/>
        </w:rPr>
        <w:t>2</w:t>
      </w:r>
      <w:r>
        <w:rPr>
          <w:b w:val="0"/>
          <w:color w:val="16241C"/>
          <w:sz w:val="21"/>
        </w:rPr>
        <w:t xml:space="preserve"> and </w:t>
      </w:r>
      <w:r>
        <w:rPr>
          <w:b/>
          <w:color w:val="16241C"/>
          <w:sz w:val="21"/>
        </w:rPr>
        <w:t>55%</w:t>
      </w:r>
      <w:r>
        <w:rPr>
          <w:b w:val="0"/>
          <w:color w:val="16241C"/>
          <w:sz w:val="21"/>
        </w:rPr>
        <w:t xml:space="preserve"> want the story behind what they eat;</w:t>
      </w:r>
      <w:r>
        <w:rPr>
          <w:color w:val="235C3A"/>
          <w:sz w:val="14"/>
          <w:vertAlign w:val="superscript"/>
        </w:rPr>
        <w:t>3</w:t>
      </w:r>
      <w:r>
        <w:rPr>
          <w:b w:val="0"/>
          <w:color w:val="16241C"/>
          <w:sz w:val="21"/>
        </w:rPr>
        <w:t xml:space="preserve"> the share rating ingredient transparency as important rose from </w:t>
      </w:r>
      <w:r>
        <w:rPr>
          <w:b/>
          <w:color w:val="16241C"/>
          <w:sz w:val="21"/>
        </w:rPr>
        <w:t>69% in 2018 to 76% in 2023</w:t>
      </w:r>
      <w:r>
        <w:rPr>
          <w:b w:val="0"/>
          <w:color w:val="16241C"/>
          <w:sz w:val="21"/>
        </w:rPr>
        <w:t>.</w:t>
      </w:r>
      <w:r>
        <w:rPr>
          <w:color w:val="235C3A"/>
          <w:sz w:val="14"/>
          <w:vertAlign w:val="superscript"/>
        </w:rPr>
        <w:t>3</w:t>
      </w:r>
      <w:r>
        <w:rPr>
          <w:b w:val="0"/>
          <w:color w:val="16241C"/>
          <w:sz w:val="21"/>
        </w:rPr>
        <w:t xml:space="preserve"> The barrier is labor, not demand — doing it by hand means finding farms, vetting them, negotiating, contracting, scheduling, and covering shortfalls.</w:t>
      </w:r>
    </w:p>
    <w:p>
      <w:pPr>
        <w:jc w:val="both"/>
      </w:pPr>
      <w:r>
        <w:rPr>
          <w:b w:val="0"/>
          <w:color w:val="16241C"/>
          <w:sz w:val="21"/>
        </w:rPr>
        <w:t xml:space="preserve">Two things just became true at once: durable diner demand for local, and AI agents finally cheap enough to run that coordination as a done-for-you service. The market is large — U.S. restaurants did about </w:t>
      </w:r>
      <w:r>
        <w:rPr>
          <w:b/>
          <w:color w:val="16241C"/>
          <w:sz w:val="21"/>
        </w:rPr>
        <w:t>$1.1 trillion</w:t>
      </w:r>
      <w:r>
        <w:rPr>
          <w:b w:val="0"/>
          <w:color w:val="16241C"/>
          <w:sz w:val="21"/>
        </w:rPr>
        <w:t xml:space="preserve"> across roughly </w:t>
      </w:r>
      <w:r>
        <w:rPr>
          <w:b/>
          <w:color w:val="16241C"/>
          <w:sz w:val="21"/>
        </w:rPr>
        <w:t>1 million</w:t>
      </w:r>
      <w:r>
        <w:rPr>
          <w:b w:val="0"/>
          <w:color w:val="16241C"/>
          <w:sz w:val="21"/>
        </w:rPr>
        <w:t xml:space="preserve"> locations in 2024.</w:t>
      </w:r>
      <w:r>
        <w:rPr>
          <w:color w:val="235C3A"/>
          <w:sz w:val="14"/>
          <w:vertAlign w:val="superscript"/>
        </w:rPr>
        <w:t>4</w:t>
      </w:r>
    </w:p>
    <w:p>
      <w:pPr>
        <w:spacing w:before="220" w:after="60"/>
      </w:pPr>
      <w:r>
        <w:rPr>
          <w:b/>
          <w:color w:val="235C3A"/>
          <w:sz w:val="24"/>
        </w:rPr>
        <w:t>Product</w:t>
      </w:r>
    </w:p>
    <w:p>
      <w:pPr>
        <w:jc w:val="both"/>
      </w:pPr>
      <w:r>
        <w:rPr>
          <w:b w:val="0"/>
          <w:color w:val="16241C"/>
          <w:sz w:val="21"/>
        </w:rPr>
        <w:t xml:space="preserve">The restaurant enters one need — say, 40 lbs of heirloom tomatoes a week — and the agent, with no further work from the owner: ranks vetted local farms by crop, distance, reliability, and price; splits the order across farms if one cannot cover it; drafts a contract and negotiates quality terms; schedules weekly third-party delivery; holds payment in escrow until delivery is confirmed; and tracks the added margin per dish. Setup takes about </w:t>
      </w:r>
      <w:r>
        <w:rPr>
          <w:b/>
          <w:color w:val="16241C"/>
          <w:sz w:val="21"/>
        </w:rPr>
        <w:t>ten minutes</w:t>
      </w:r>
      <w:r>
        <w:rPr>
          <w:b w:val="0"/>
          <w:color w:val="16241C"/>
          <w:sz w:val="21"/>
        </w:rPr>
        <w:t xml:space="preserve"> and the first ingredient is free. The product, including the agent, contracts, escrow, and a free instant sourcing audit, is </w:t>
      </w:r>
      <w:r>
        <w:rPr>
          <w:b/>
          <w:color w:val="16241C"/>
          <w:sz w:val="21"/>
        </w:rPr>
        <w:t>built and live today</w:t>
      </w:r>
      <w:r>
        <w:rPr>
          <w:b w:val="0"/>
          <w:color w:val="16241C"/>
          <w:sz w:val="21"/>
        </w:rPr>
        <w:t>.</w:t>
      </w:r>
    </w:p>
    <w:p>
      <w:pPr>
        <w:spacing w:before="220" w:after="60"/>
      </w:pPr>
      <w:r>
        <w:rPr>
          <w:b/>
          <w:color w:val="235C3A"/>
          <w:sz w:val="24"/>
        </w:rPr>
        <w:t>Business Model</w:t>
      </w:r>
    </w:p>
    <w:p>
      <w:pPr>
        <w:jc w:val="both"/>
      </w:pPr>
      <w:r>
        <w:rPr>
          <w:b w:val="0"/>
          <w:color w:val="16241C"/>
          <w:sz w:val="21"/>
        </w:rPr>
        <w:t xml:space="preserve">Our economics are deliberately asset-light, and there are only three parts. </w:t>
      </w:r>
      <w:r>
        <w:rPr>
          <w:b/>
          <w:color w:val="16241C"/>
          <w:sz w:val="21"/>
        </w:rPr>
        <w:t>Food</w:t>
      </w:r>
      <w:r>
        <w:rPr>
          <w:b w:val="0"/>
          <w:color w:val="16241C"/>
          <w:sz w:val="21"/>
        </w:rPr>
        <w:t xml:space="preserve"> is billed to the restaurant at the farm's price — we make </w:t>
      </w:r>
      <w:r>
        <w:rPr>
          <w:b/>
          <w:color w:val="16241C"/>
          <w:sz w:val="21"/>
        </w:rPr>
        <w:t>$0</w:t>
      </w:r>
      <w:r>
        <w:rPr>
          <w:b w:val="0"/>
          <w:color w:val="16241C"/>
          <w:sz w:val="21"/>
        </w:rPr>
        <w:t xml:space="preserve"> on it. </w:t>
      </w:r>
      <w:r>
        <w:rPr>
          <w:b/>
          <w:color w:val="16241C"/>
          <w:sz w:val="21"/>
        </w:rPr>
        <w:t>Delivery</w:t>
      </w:r>
      <w:r>
        <w:rPr>
          <w:b w:val="0"/>
          <w:color w:val="16241C"/>
          <w:sz w:val="21"/>
        </w:rPr>
        <w:t xml:space="preserve"> is passed through at third-party cost — we make </w:t>
      </w:r>
      <w:r>
        <w:rPr>
          <w:b/>
          <w:color w:val="16241C"/>
          <w:sz w:val="21"/>
        </w:rPr>
        <w:t>$0</w:t>
      </w:r>
      <w:r>
        <w:rPr>
          <w:b w:val="0"/>
          <w:color w:val="16241C"/>
          <w:sz w:val="21"/>
        </w:rPr>
        <w:t xml:space="preserve"> on logistics. Our only revenue is a </w:t>
      </w:r>
      <w:r>
        <w:rPr>
          <w:b/>
          <w:color w:val="16241C"/>
          <w:sz w:val="21"/>
        </w:rPr>
        <w:t>service fee</w:t>
      </w:r>
      <w:r>
        <w:rPr>
          <w:b w:val="0"/>
          <w:color w:val="16241C"/>
          <w:sz w:val="21"/>
        </w:rPr>
        <w:t xml:space="preserve">: a </w:t>
      </w:r>
      <w:r>
        <w:rPr>
          <w:b/>
          <w:color w:val="16241C"/>
          <w:sz w:val="21"/>
        </w:rPr>
        <w:t>$299</w:t>
      </w:r>
      <w:r>
        <w:rPr>
          <w:b w:val="0"/>
          <w:color w:val="16241C"/>
          <w:sz w:val="21"/>
        </w:rPr>
        <w:t xml:space="preserve"> monthly base plus a per-item fee that scales with volume, blending to about </w:t>
      </w:r>
      <w:r>
        <w:rPr>
          <w:b/>
          <w:color w:val="16241C"/>
          <w:sz w:val="21"/>
        </w:rPr>
        <w:t>$896 per restaurant per month</w:t>
      </w:r>
      <w:r>
        <w:rPr>
          <w:b w:val="0"/>
          <w:color w:val="16241C"/>
          <w:sz w:val="21"/>
        </w:rPr>
        <w:t xml:space="preserve"> (~$10,700/year). Because our costs are software, agent compute, and a thin coordination layer, the service-fee gross margin runs about </w:t>
      </w:r>
      <w:r>
        <w:rPr>
          <w:b/>
          <w:color w:val="16241C"/>
          <w:sz w:val="21"/>
        </w:rPr>
        <w:t>80% at scale</w:t>
      </w:r>
      <w:r>
        <w:rPr>
          <w:b w:val="0"/>
          <w:color w:val="16241C"/>
          <w:sz w:val="21"/>
        </w:rPr>
        <w:t>. At that margin a customer contributes ~</w:t>
      </w:r>
      <w:r>
        <w:rPr>
          <w:b/>
          <w:color w:val="16241C"/>
          <w:sz w:val="21"/>
        </w:rPr>
        <w:t>$717/month</w:t>
      </w:r>
      <w:r>
        <w:rPr>
          <w:b w:val="0"/>
          <w:color w:val="16241C"/>
          <w:sz w:val="21"/>
        </w:rPr>
        <w:t>, so even a $1,000 acquisition cost pays back in under two months (illustrative). We make software margins on a problem others tried to solve with trucks.</w:t>
      </w:r>
    </w:p>
    <w:p>
      <w:pPr>
        <w:spacing w:before="220" w:after="60"/>
      </w:pPr>
      <w:r>
        <w:rPr>
          <w:b/>
          <w:color w:val="235C3A"/>
          <w:sz w:val="24"/>
        </w:rPr>
        <w:t>Go-to-Market</w:t>
      </w:r>
    </w:p>
    <w:p>
      <w:pPr>
        <w:jc w:val="both"/>
      </w:pPr>
      <w:r>
        <w:rPr>
          <w:b w:val="0"/>
          <w:color w:val="16241C"/>
          <w:sz w:val="21"/>
        </w:rPr>
        <w:t xml:space="preserve">We win </w:t>
      </w:r>
      <w:r>
        <w:rPr>
          <w:b/>
          <w:color w:val="16241C"/>
          <w:sz w:val="21"/>
        </w:rPr>
        <w:t>one metro at a time</w:t>
      </w:r>
      <w:r>
        <w:rPr>
          <w:b w:val="0"/>
          <w:color w:val="16241C"/>
          <w:sz w:val="21"/>
        </w:rPr>
        <w:t xml:space="preserve"> and earn density before expanding. The motion is a </w:t>
      </w:r>
      <w:r>
        <w:rPr>
          <w:b/>
          <w:color w:val="16241C"/>
          <w:sz w:val="21"/>
        </w:rPr>
        <w:t>part-time industry insider plus warm introductions</w:t>
      </w:r>
      <w:r>
        <w:rPr>
          <w:b w:val="0"/>
          <w:color w:val="16241C"/>
          <w:sz w:val="21"/>
        </w:rPr>
        <w:t xml:space="preserve"> into Indianapolis kitchens — a credibility-led, low-CAC channel rather than cold paid acquisition. The wedge is the </w:t>
      </w:r>
      <w:r>
        <w:rPr>
          <w:b/>
          <w:color w:val="16241C"/>
          <w:sz w:val="21"/>
        </w:rPr>
        <w:t>free instant audit</w:t>
      </w:r>
      <w:r>
        <w:rPr>
          <w:b w:val="0"/>
          <w:color w:val="16241C"/>
          <w:sz w:val="21"/>
        </w:rPr>
        <w:t xml:space="preserve">: it turns a cold kitchen into a quantified “money on the table” conversation using their own menu, and the free first ingredient removes the risk of trying. We estimate about </w:t>
      </w:r>
      <w:r>
        <w:rPr>
          <w:b/>
          <w:color w:val="16241C"/>
          <w:sz w:val="21"/>
        </w:rPr>
        <w:t>1,500 target independents</w:t>
      </w:r>
      <w:r>
        <w:rPr>
          <w:b w:val="0"/>
          <w:color w:val="16241C"/>
          <w:sz w:val="21"/>
        </w:rPr>
        <w:t xml:space="preserve"> in the metro.</w:t>
      </w:r>
      <w:r>
        <w:rPr>
          <w:color w:val="235C3A"/>
          <w:sz w:val="14"/>
          <w:vertAlign w:val="superscript"/>
        </w:rPr>
        <w:t>5</w:t>
      </w:r>
    </w:p>
    <w:p>
      <w:pPr>
        <w:spacing w:before="220" w:after="60"/>
      </w:pPr>
      <w:r>
        <w:rPr>
          <w:b/>
          <w:color w:val="235C3A"/>
          <w:sz w:val="24"/>
        </w:rPr>
        <w:t>Why We Win</w:t>
      </w:r>
    </w:p>
    <w:p>
      <w:pPr>
        <w:jc w:val="both"/>
      </w:pPr>
      <w:r>
        <w:rPr>
          <w:b w:val="0"/>
          <w:color w:val="16241C"/>
          <w:sz w:val="21"/>
        </w:rPr>
        <w:t xml:space="preserve">Many have tried this and failed, and the cause of death is consistent. </w:t>
      </w:r>
      <w:r>
        <w:rPr>
          <w:b/>
          <w:color w:val="16241C"/>
          <w:sz w:val="21"/>
        </w:rPr>
        <w:t>Webvan</w:t>
      </w:r>
      <w:r>
        <w:rPr>
          <w:b w:val="0"/>
          <w:color w:val="16241C"/>
          <w:sz w:val="21"/>
        </w:rPr>
        <w:t xml:space="preserve"> raised more than </w:t>
      </w:r>
      <w:r>
        <w:rPr>
          <w:b/>
          <w:color w:val="16241C"/>
          <w:sz w:val="21"/>
        </w:rPr>
        <w:t>$800M</w:t>
      </w:r>
      <w:r>
        <w:rPr>
          <w:b w:val="0"/>
          <w:color w:val="16241C"/>
          <w:sz w:val="21"/>
        </w:rPr>
        <w:t>, built its own warehouses and trucks, expanded city by city, and went bankrupt in 2001.</w:t>
      </w:r>
      <w:r>
        <w:rPr>
          <w:color w:val="235C3A"/>
          <w:sz w:val="14"/>
          <w:vertAlign w:val="superscript"/>
        </w:rPr>
        <w:t>6</w:t>
      </w:r>
      <w:r>
        <w:rPr>
          <w:b w:val="0"/>
          <w:color w:val="16241C"/>
          <w:sz w:val="21"/>
        </w:rPr>
        <w:t xml:space="preserve"> </w:t>
      </w:r>
      <w:r>
        <w:rPr>
          <w:b/>
          <w:color w:val="16241C"/>
          <w:sz w:val="21"/>
        </w:rPr>
        <w:t>Good Eggs</w:t>
      </w:r>
      <w:r>
        <w:rPr>
          <w:b w:val="0"/>
          <w:color w:val="16241C"/>
          <w:sz w:val="21"/>
        </w:rPr>
        <w:t xml:space="preserve"> raised ~$50M, scaled to four cities, and in 2015 retreated to one.</w:t>
      </w:r>
      <w:r>
        <w:rPr>
          <w:color w:val="235C3A"/>
          <w:sz w:val="14"/>
          <w:vertAlign w:val="superscript"/>
        </w:rPr>
        <w:t>6</w:t>
      </w:r>
      <w:r>
        <w:rPr>
          <w:b w:val="0"/>
          <w:color w:val="16241C"/>
          <w:sz w:val="21"/>
        </w:rPr>
        <w:t xml:space="preserve"> </w:t>
      </w:r>
      <w:r>
        <w:rPr>
          <w:b/>
          <w:color w:val="16241C"/>
          <w:sz w:val="21"/>
        </w:rPr>
        <w:t>Farmigo</w:t>
      </w:r>
      <w:r>
        <w:rPr>
          <w:b w:val="0"/>
          <w:color w:val="16241C"/>
          <w:sz w:val="21"/>
        </w:rPr>
        <w:t xml:space="preserve">, </w:t>
      </w:r>
      <w:r>
        <w:rPr>
          <w:b/>
          <w:color w:val="16241C"/>
          <w:sz w:val="21"/>
        </w:rPr>
        <w:t>Door to Door Organics</w:t>
      </w:r>
      <w:r>
        <w:rPr>
          <w:b w:val="0"/>
          <w:color w:val="16241C"/>
          <w:sz w:val="21"/>
        </w:rPr>
        <w:t xml:space="preserve">, and </w:t>
      </w:r>
      <w:r>
        <w:rPr>
          <w:b/>
          <w:color w:val="16241C"/>
          <w:sz w:val="21"/>
        </w:rPr>
        <w:t>Relay Foods</w:t>
      </w:r>
      <w:r>
        <w:rPr>
          <w:b w:val="0"/>
          <w:color w:val="16241C"/>
          <w:sz w:val="21"/>
        </w:rPr>
        <w:t xml:space="preserve"> each tried to aggregate small farms and deliver, and each shut down by 2016.</w:t>
      </w:r>
      <w:r>
        <w:rPr>
          <w:color w:val="235C3A"/>
          <w:sz w:val="14"/>
          <w:vertAlign w:val="superscript"/>
        </w:rPr>
        <w:t>6</w:t>
      </w:r>
      <w:r>
        <w:rPr>
          <w:b w:val="0"/>
          <w:color w:val="16241C"/>
          <w:sz w:val="21"/>
        </w:rPr>
        <w:t xml:space="preserve"> They </w:t>
      </w:r>
      <w:r>
        <w:rPr>
          <w:b/>
          <w:color w:val="16241C"/>
          <w:sz w:val="21"/>
        </w:rPr>
        <w:t>owned the perishable inventory and the logistics</w:t>
      </w:r>
      <w:r>
        <w:rPr>
          <w:b w:val="0"/>
          <w:color w:val="16241C"/>
          <w:sz w:val="21"/>
        </w:rPr>
        <w:t>, sold to price-sensitive consumers, and expanded geography before the unit economics worked. Large distributors (Sysco, US Foods) serve scale but not small local farms; for them, “local” is a checkbox.</w:t>
      </w:r>
    </w:p>
    <w:p>
      <w:pPr>
        <w:jc w:val="both"/>
      </w:pPr>
      <w:r>
        <w:rPr>
          <w:b w:val="0"/>
          <w:color w:val="16241C"/>
          <w:sz w:val="21"/>
        </w:rPr>
        <w:t xml:space="preserve">We are different on every count, and the advantage compounds. We own </w:t>
      </w:r>
      <w:r>
        <w:rPr>
          <w:b/>
          <w:color w:val="16241C"/>
          <w:sz w:val="21"/>
        </w:rPr>
        <w:t>no warehouses, trucks, or inventory</w:t>
      </w:r>
      <w:r>
        <w:rPr>
          <w:b w:val="0"/>
          <w:color w:val="16241C"/>
          <w:sz w:val="21"/>
        </w:rPr>
        <w:t xml:space="preserve">; we sell to </w:t>
      </w:r>
      <w:r>
        <w:rPr>
          <w:b/>
          <w:color w:val="16241C"/>
          <w:sz w:val="21"/>
        </w:rPr>
        <w:t>restaurants on a recurring fee</w:t>
      </w:r>
      <w:r>
        <w:rPr>
          <w:b w:val="0"/>
          <w:color w:val="16241C"/>
          <w:sz w:val="21"/>
        </w:rPr>
        <w:t xml:space="preserve">; we earn </w:t>
      </w:r>
      <w:r>
        <w:rPr>
          <w:b/>
          <w:color w:val="16241C"/>
          <w:sz w:val="21"/>
        </w:rPr>
        <w:t>density in one metro</w:t>
      </w:r>
      <w:r>
        <w:rPr>
          <w:b w:val="0"/>
          <w:color w:val="16241C"/>
          <w:sz w:val="21"/>
        </w:rPr>
        <w:t xml:space="preserve"> first; and an </w:t>
      </w:r>
      <w:r>
        <w:rPr>
          <w:b/>
          <w:color w:val="16241C"/>
          <w:sz w:val="21"/>
        </w:rPr>
        <w:t>AI agent</w:t>
      </w:r>
      <w:r>
        <w:rPr>
          <w:b w:val="0"/>
          <w:color w:val="16241C"/>
          <w:sz w:val="21"/>
        </w:rPr>
        <w:t xml:space="preserve"> runs the coordination that made this unprofitable by hand. That density is the moat: vet a city's farms once and a rival must rebuild the whole local supply base. Every contract, delivery, and price also </w:t>
      </w:r>
      <w:r>
        <w:rPr>
          <w:b/>
          <w:color w:val="16241C"/>
          <w:sz w:val="21"/>
        </w:rPr>
        <w:t>trains the agent</w:t>
      </w:r>
      <w:r>
        <w:rPr>
          <w:b w:val="0"/>
          <w:color w:val="16241C"/>
          <w:sz w:val="21"/>
        </w:rPr>
        <w:t xml:space="preserve"> on local supply and demand, and once we run a kitchen's sourcing, contracts, and deliveries, </w:t>
      </w:r>
      <w:r>
        <w:rPr>
          <w:b/>
          <w:color w:val="16241C"/>
          <w:sz w:val="21"/>
        </w:rPr>
        <w:t>replacing us means rebuilding their supply chain by hand</w:t>
      </w:r>
      <w:r>
        <w:rPr>
          <w:b w:val="0"/>
          <w:color w:val="16241C"/>
          <w:sz w:val="21"/>
        </w:rPr>
        <w:t>.</w:t>
      </w:r>
    </w:p>
    <w:p>
      <w:pPr>
        <w:spacing w:before="220" w:after="60"/>
      </w:pPr>
      <w:r>
        <w:rPr>
          <w:b/>
          <w:color w:val="235C3A"/>
          <w:sz w:val="24"/>
        </w:rPr>
        <w:t>Team</w:t>
      </w:r>
    </w:p>
    <w:p>
      <w:pPr>
        <w:jc w:val="both"/>
      </w:pPr>
      <w:r>
        <w:rPr>
          <w:b/>
          <w:color w:val="16241C"/>
          <w:sz w:val="21"/>
        </w:rPr>
        <w:t>Keshav Krishnan</w:t>
      </w:r>
      <w:r>
        <w:rPr>
          <w:b w:val="0"/>
          <w:color w:val="16241C"/>
          <w:sz w:val="21"/>
        </w:rPr>
        <w:t xml:space="preserve">, founder. [Add one or two lines on your relevant background: industry exposure, technical build of the product, and any prior ventures.] Early sales are led by a </w:t>
      </w:r>
      <w:r>
        <w:rPr>
          <w:b/>
          <w:color w:val="16241C"/>
          <w:sz w:val="21"/>
        </w:rPr>
        <w:t>part-time industry insider</w:t>
      </w:r>
      <w:r>
        <w:rPr>
          <w:b w:val="0"/>
          <w:color w:val="16241C"/>
          <w:sz w:val="21"/>
        </w:rPr>
        <w:t xml:space="preserve"> with existing restaurant relationships in the market.</w:t>
      </w:r>
    </w:p>
    <w:p>
      <w:pPr>
        <w:spacing w:after="80"/>
      </w:pPr>
      <w:r>
        <w:rPr>
          <w:b w:val="0"/>
          <w:color w:val="5B6B60"/>
          <w:sz w:val="19"/>
        </w:rPr>
        <w:t>To complete before sending: founder background, and the insider's name/relationships.</w:t>
      </w:r>
    </w:p>
    <w:p>
      <w:pPr>
        <w:spacing w:before="220" w:after="60"/>
      </w:pPr>
      <w:r>
        <w:rPr>
          <w:b/>
          <w:color w:val="235C3A"/>
          <w:sz w:val="24"/>
        </w:rPr>
        <w:t>Status and Ask</w:t>
      </w:r>
    </w:p>
    <w:p>
      <w:pPr>
        <w:jc w:val="both"/>
      </w:pPr>
      <w:r>
        <w:rPr>
          <w:b w:val="0"/>
          <w:color w:val="16241C"/>
          <w:sz w:val="21"/>
        </w:rPr>
        <w:t xml:space="preserve">The product is </w:t>
      </w:r>
      <w:r>
        <w:rPr>
          <w:b/>
          <w:color w:val="16241C"/>
          <w:sz w:val="21"/>
        </w:rPr>
        <w:t>built and live</w:t>
      </w:r>
      <w:r>
        <w:rPr>
          <w:b w:val="0"/>
          <w:color w:val="16241C"/>
          <w:sz w:val="21"/>
        </w:rPr>
        <w:t xml:space="preserve">; we are </w:t>
      </w:r>
      <w:r>
        <w:rPr>
          <w:b/>
          <w:color w:val="16241C"/>
          <w:sz w:val="21"/>
        </w:rPr>
        <w:t>pre-revenue</w:t>
      </w:r>
      <w:r>
        <w:rPr>
          <w:b w:val="0"/>
          <w:color w:val="16241C"/>
          <w:sz w:val="21"/>
        </w:rPr>
        <w:t xml:space="preserve">. We are raising </w:t>
      </w:r>
      <w:r>
        <w:rPr>
          <w:b/>
          <w:color w:val="16241C"/>
          <w:sz w:val="21"/>
        </w:rPr>
        <w:t>$50,000–$100,000</w:t>
      </w:r>
      <w:r>
        <w:rPr>
          <w:b w:val="0"/>
          <w:color w:val="16241C"/>
          <w:sz w:val="21"/>
        </w:rPr>
        <w:t xml:space="preserve"> on a post-money SAFE (</w:t>
      </w:r>
      <w:r>
        <w:rPr>
          <w:b/>
          <w:color w:val="16241C"/>
          <w:sz w:val="21"/>
        </w:rPr>
        <w:t>$4M</w:t>
      </w:r>
      <w:r>
        <w:rPr>
          <w:b w:val="0"/>
          <w:color w:val="16241C"/>
          <w:sz w:val="21"/>
        </w:rPr>
        <w:t xml:space="preserve"> cap, </w:t>
      </w:r>
      <w:r>
        <w:rPr>
          <w:b/>
          <w:color w:val="16241C"/>
          <w:sz w:val="21"/>
        </w:rPr>
        <w:t>20%</w:t>
      </w:r>
      <w:r>
        <w:rPr>
          <w:b w:val="0"/>
          <w:color w:val="16241C"/>
          <w:sz w:val="21"/>
        </w:rPr>
        <w:t xml:space="preserve"> discount, MFN), with about </w:t>
      </w:r>
      <w:r>
        <w:rPr>
          <w:b/>
          <w:color w:val="16241C"/>
          <w:sz w:val="21"/>
        </w:rPr>
        <w:t>80%</w:t>
      </w:r>
      <w:r>
        <w:rPr>
          <w:b w:val="0"/>
          <w:color w:val="16241C"/>
          <w:sz w:val="21"/>
        </w:rPr>
        <w:t xml:space="preserve"> going to sales. The round funds one milestone: </w:t>
      </w:r>
      <w:r>
        <w:rPr>
          <w:b/>
          <w:color w:val="16241C"/>
          <w:sz w:val="21"/>
        </w:rPr>
        <w:t>15 paying kitchens and ~$13,000 in monthly recurring revenue in Indianapolis within 90 days</w:t>
      </w:r>
      <w:r>
        <w:rPr>
          <w:b w:val="0"/>
          <w:color w:val="16241C"/>
          <w:sz w:val="21"/>
        </w:rPr>
        <w:t xml:space="preserve"> — the proof point to raise a priced seed.</w:t>
      </w:r>
    </w:p>
    <w:p>
      <w:pPr>
        <w:spacing w:before="220" w:after="60"/>
      </w:pPr>
      <w:r>
        <w:rPr>
          <w:b/>
          <w:color w:val="235C3A"/>
          <w:sz w:val="24"/>
        </w:rPr>
        <w:t>Risks and Open Questions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Willingness to pay is unproven.</w:t>
      </w:r>
      <w:r>
        <w:rPr>
          <w:b w:val="0"/>
          <w:color w:val="16241C"/>
          <w:sz w:val="21"/>
        </w:rPr>
        <w:t xml:space="preserve"> Being pre-revenue, we have not yet confirmed a restaurant will pay ~$896/month. Mitigation: the free audit quantifies ROI before they pay, and a guarantee backs it.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Acquisition is unproven.</w:t>
      </w:r>
      <w:r>
        <w:rPr>
          <w:b w:val="0"/>
          <w:color w:val="16241C"/>
          <w:sz w:val="21"/>
        </w:rPr>
        <w:t xml:space="preserve"> Restaurants are slow, low-tech buyers; the insider/warm-intro motion may not scale cheaply. Mitigation: start where introductions exist and measure CAC and sales-cycle from the first cohort.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Operational reliability.</w:t>
      </w:r>
      <w:r>
        <w:rPr>
          <w:b w:val="0"/>
          <w:color w:val="16241C"/>
          <w:sz w:val="21"/>
        </w:rPr>
        <w:t xml:space="preserve"> A single missed delivery breaks trust, and coordinating perishable weekly supply is hard even asset-light. Mitigation: a backup farm stands by for every crop; escrow aligns the farm's incentive to deliver.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Churn.</w:t>
      </w:r>
      <w:r>
        <w:rPr>
          <w:b w:val="0"/>
          <w:color w:val="16241C"/>
          <w:sz w:val="21"/>
        </w:rPr>
        <w:t xml:space="preserve"> Independent restaurants close often and run thin. Mitigation: deep switching costs once we are embedded in their sourcing and contracts.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Cold start / density.</w:t>
      </w:r>
      <w:r>
        <w:rPr>
          <w:b w:val="0"/>
          <w:color w:val="16241C"/>
          <w:sz w:val="21"/>
        </w:rPr>
        <w:t xml:space="preserve"> The flywheel needs both farms and restaurants in a metro. Mitigation: seed the farm side first and stay in one metro until it is dense.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Team depth.</w:t>
      </w:r>
      <w:r>
        <w:rPr>
          <w:b w:val="0"/>
          <w:color w:val="16241C"/>
          <w:sz w:val="21"/>
        </w:rPr>
        <w:t xml:space="preserve"> A small team is key-person risk. Mitigation: this round funds the first dedicated sales hire.</w:t>
      </w:r>
    </w:p>
    <w:p>
      <w:pPr>
        <w:spacing w:before="280"/>
      </w:pPr>
      <w:r>
        <w:rPr>
          <w:b w:val="0"/>
          <w:color w:val="5B6B60"/>
          <w:sz w:val="17"/>
        </w:rPr>
        <w:t>Sources.  1 — Restaurant net-margin and prime-cost benchmarks: National Restaurant Association; Restaurant365 industry benchmarks.  2 — National Restaurant Association, 2022 State of the Restaurant Industry.  3 — FMI, transparency and foodservice trends, 2023.  4 — National Restaurant Association, 2024 industry forecast.  5 — Indianapolis restaurant counts and target-segment figures are internal estimates.  6 — Company outcomes are publicly reported: Webvan (bankruptcy, 2001); Good Eggs (layoffs and market exit, 2015); Farmigo, Door to Door Organics, and Relay Foods (ceased food operations, 2016).</w:t>
      </w:r>
    </w:p>
    <w:p>
      <w:pPr>
        <w:spacing w:before="280"/>
      </w:pPr>
      <w:r>
        <w:rPr>
          <w:b w:val="0"/>
          <w:color w:val="5B6B60"/>
          <w:sz w:val="17"/>
        </w:rPr>
        <w:t>Keshav Krishnan · keshavkrishnanbusiness@gmail.com · Confidential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16241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