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80"/>
      </w:pPr>
      <w:r>
        <w:rPr>
          <w:b w:val="0"/>
          <w:color w:val="5B6B60"/>
          <w:sz w:val="17"/>
        </w:rPr>
        <w:t>Sources.  1. Restaurant net-margin and prime-cost benchmarks: National Restaurant Association; Restaurant365.  2. National Restaurant Association, 2022 State of the Restaurant Industry.  3. FMI, transparency and foodservice trends, 2023.  4. National Restaurant Association, 2024 industry forecast.  5. U.S. and Indianapolis target-segment counts and the revenue estimates derived from them are internal estimates.</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 through local groups.</w:t>
      </w:r>
      <w:r>
        <w:rPr>
          <w:b w:val="0"/>
          <w:color w:val="16241C"/>
          <w:sz w:val="21"/>
        </w:rPr>
        <w:t xml:space="preserve"> We bring farms on through Indianapolis non-profit and farmer networks that already aggregate dozens of vetted local growers: the Indy Winter Farmers Market, Growing Places Indy, the Farmers Cooperative Food Hub, Hoosier Harvest Market, and FARMWISE Indiana. A single one of these partnerships covers our 8 to 12 starter farms on its own, so supply and fill are guaranteed before we sell a restaurant. This removes the cold-start problem and gives us instant credibility with growers.</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80"/>
      </w:pPr>
      <w:r>
        <w:rPr>
          <w:b w:val="0"/>
          <w:color w:val="5B6B60"/>
          <w:sz w:val="17"/>
        </w:rPr>
        <w:t>Source.  6. Valuations are peak reported figures from press and PitchBook: Misfits Market (about $2B, 2021) and Choco (about $1.2B, 2022); Afresh has raised about $148M.</w:t>
      </w:r>
    </w:p>
    <w:p>
      <w:pPr>
        <w:spacing w:before="220" w:after="60"/>
      </w:pPr>
      <w:r>
        <w:rPr>
          <w:b/>
          <w:color w:val="235C3A"/>
          <w:sz w:val="24"/>
        </w:rPr>
        <w:t>Team</w:t>
      </w:r>
    </w:p>
    <w:p>
      <w:pPr>
        <w:spacing w:after="80"/>
      </w:pPr>
      <w:r>
        <w:drawing>
          <wp:inline xmlns:a="http://schemas.openxmlformats.org/drawingml/2006/main" xmlns:pic="http://schemas.openxmlformats.org/drawingml/2006/picture">
            <wp:extent cx="1143000" cy="1714500"/>
            <wp:docPr id="1" name="Picture 1"/>
            <wp:cNvGraphicFramePr>
              <a:graphicFrameLocks noChangeAspect="1"/>
            </wp:cNvGraphicFramePr>
            <a:graphic>
              <a:graphicData uri="http://schemas.openxmlformats.org/drawingml/2006/picture">
                <pic:pic>
                  <pic:nvPicPr>
                    <pic:cNvPr id="0" name="keshav.jpg"/>
                    <pic:cNvPicPr/>
                  </pic:nvPicPr>
                  <pic:blipFill>
                    <a:blip r:embed="rId9"/>
                    <a:stretch>
                      <a:fillRect/>
                    </a:stretch>
                  </pic:blipFill>
                  <pic:spPr>
                    <a:xfrm>
                      <a:off x="0" y="0"/>
                      <a:ext cx="1143000" cy="1714500"/>
                    </a:xfrm>
                    <a:prstGeom prst="rect"/>
                  </pic:spPr>
                </pic:pic>
              </a:graphicData>
            </a:graphic>
          </wp:inline>
        </w:drawing>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The first hire this round funds is a </w:t>
      </w:r>
      <w:r>
        <w:rPr>
          <w:b/>
          <w:color w:val="16241C"/>
          <w:sz w:val="21"/>
        </w:rPr>
        <w:t>Head of Sourcing</w:t>
      </w:r>
      <w:r>
        <w:rPr>
          <w:b w:val="0"/>
          <w:color w:val="16241C"/>
          <w:sz w:val="21"/>
        </w:rPr>
        <w:t xml:space="preserve">, who builds and manages the local farm supply and uses existing restaurant relationships to open doors. The strongest candidates are </w:t>
      </w:r>
      <w:r>
        <w:rPr>
          <w:b/>
          <w:color w:val="16241C"/>
          <w:sz w:val="21"/>
        </w:rPr>
        <w:t>produce-distributor sales reps or territory managers</w:t>
      </w:r>
      <w:r>
        <w:rPr>
          <w:b w:val="0"/>
          <w:color w:val="16241C"/>
          <w:sz w:val="21"/>
        </w:rPr>
        <w:t xml:space="preserve"> (for example at Indianapolis Fruit, Piazza Produce, or What Chefs Want) and </w:t>
      </w:r>
      <w:r>
        <w:rPr>
          <w:b/>
          <w:color w:val="16241C"/>
          <w:sz w:val="21"/>
        </w:rPr>
        <w:t>food-hub or farm-cooperative managers</w:t>
      </w:r>
      <w:r>
        <w:rPr>
          <w:b w:val="0"/>
          <w:color w:val="16241C"/>
          <w:sz w:val="21"/>
        </w:rPr>
        <w:t xml:space="preserve"> (for example Hoosier Harvest Market or the Farmers Cooperative Food Hub), who already carry a book of restaurant accounts and know the local growers. A modest base plus meaningful equity is attractive to a strong rep ready to trade a commission grind for ownership.</w:t>
      </w:r>
    </w:p>
    <w:p>
      <w:pPr>
        <w:spacing w:after="80"/>
      </w:pPr>
      <w:r>
        <w:rPr>
          <w:b w:val="0"/>
          <w:color w:val="5B6B60"/>
          <w:sz w:val="19"/>
        </w:rPr>
        <w:t>To complete before sending: one concrete figure from your climate-migration research, and the name of a sourcing hire if you have one lined up.</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w:t>
      </w:r>
      <w:r>
        <w:rPr>
          <w:b w:val="0"/>
          <w:color w:val="16241C"/>
          <w:sz w:val="21"/>
        </w:rPr>
        <w:t>, the proof point to raise a priced seed.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