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6241C"/>
          <w:sz w:val="38"/>
        </w:rPr>
        <w:t>CropConnect — Investor Pre-Read</w:t>
      </w:r>
    </w:p>
    <w:p>
      <w:pPr>
        <w:spacing w:before="220" w:after="60"/>
      </w:pPr>
      <w:r>
        <w:rPr>
          <w:b/>
          <w:color w:val="235C3A"/>
          <w:sz w:val="24"/>
        </w:rPr>
        <w:t>Summary</w:t>
      </w:r>
    </w:p>
    <w:p>
      <w:pPr>
        <w:jc w:val="both"/>
      </w:pPr>
      <w:r>
        <w:rPr>
          <w:b w:val="0"/>
          <w:color w:val="16241C"/>
          <w:sz w:val="21"/>
        </w:rPr>
        <w:t xml:space="preserve">CropConnect is an AI agent that does one thing for a restaurant: it runs local sourcing end to end — finding the farms, signing the contracts, scheduling weekly delivery, holding payment in escrow, and tracking the added margin. The owner names an ingredient and puts the dish on the menu; the software does the rest, automatically. The business is </w:t>
      </w:r>
      <w:r>
        <w:rPr>
          <w:b/>
          <w:color w:val="16241C"/>
          <w:sz w:val="21"/>
        </w:rPr>
        <w:t>asset-light</w:t>
      </w:r>
      <w:r>
        <w:rPr>
          <w:b w:val="0"/>
          <w:color w:val="16241C"/>
          <w:sz w:val="21"/>
        </w:rPr>
        <w:t xml:space="preserve">: we own no warehouses, trucks, or inventory, the food is billed at the farm's price, and delivery is third-party, so we earn a </w:t>
      </w:r>
      <w:r>
        <w:rPr>
          <w:b/>
          <w:color w:val="16241C"/>
          <w:sz w:val="21"/>
        </w:rPr>
        <w:t>software margin on a monthly service fee</w:t>
      </w:r>
      <w:r>
        <w:rPr>
          <w:b w:val="0"/>
          <w:color w:val="16241C"/>
          <w:sz w:val="21"/>
        </w:rPr>
        <w:t xml:space="preserve">, not a distribution margin. The product is </w:t>
      </w:r>
      <w:r>
        <w:rPr>
          <w:b/>
          <w:color w:val="16241C"/>
          <w:sz w:val="21"/>
        </w:rPr>
        <w:t>built and live, developed by the founder solo</w:t>
      </w:r>
      <w:r>
        <w:rPr>
          <w:b w:val="0"/>
          <w:color w:val="16241C"/>
          <w:sz w:val="21"/>
        </w:rPr>
        <w:t xml:space="preserve">. We are pre-revenue, raising </w:t>
      </w:r>
      <w:r>
        <w:rPr>
          <w:b/>
          <w:color w:val="16241C"/>
          <w:sz w:val="21"/>
        </w:rPr>
        <w:t>$50,000–$100,000</w:t>
      </w:r>
      <w:r>
        <w:rPr>
          <w:b w:val="0"/>
          <w:color w:val="16241C"/>
          <w:sz w:val="21"/>
        </w:rPr>
        <w:t xml:space="preserve"> on a SAFE to land the first </w:t>
      </w:r>
      <w:r>
        <w:rPr>
          <w:b/>
          <w:color w:val="16241C"/>
          <w:sz w:val="21"/>
        </w:rPr>
        <w:t>15 paying kitchens in Indianapolis</w:t>
      </w:r>
      <w:r>
        <w:rPr>
          <w:b w:val="0"/>
          <w:color w:val="16241C"/>
          <w:sz w:val="21"/>
        </w:rPr>
        <w:t>.</w:t>
      </w:r>
    </w:p>
    <w:p>
      <w:pPr>
        <w:spacing w:before="220" w:after="60"/>
      </w:pPr>
      <w:r>
        <w:rPr>
          <w:b/>
          <w:color w:val="235C3A"/>
          <w:sz w:val="24"/>
        </w:rPr>
        <w:t>The Opportunity</w:t>
      </w:r>
    </w:p>
    <w:p>
      <w:pPr>
        <w:jc w:val="both"/>
      </w:pPr>
      <w:r>
        <w:rPr>
          <w:b w:val="0"/>
          <w:color w:val="16241C"/>
          <w:sz w:val="21"/>
        </w:rPr>
        <w:t xml:space="preserve">Until now, running local sourcing for a restaurant required a salaried human coordinator. An AI agent can now do that work directly: it </w:t>
      </w:r>
      <w:r>
        <w:rPr>
          <w:b/>
          <w:color w:val="16241C"/>
          <w:sz w:val="21"/>
        </w:rPr>
        <w:t>connects a restaurant to the right local farms, drafts and negotiates custom supply contracts, and runs the ongoing services — delivery tracking, escrow payments, and reconciliation — on its own.</w:t>
      </w:r>
      <w:r>
        <w:rPr>
          <w:b w:val="0"/>
          <w:color w:val="16241C"/>
          <w:sz w:val="21"/>
        </w:rPr>
        <w:t xml:space="preserve"> Software can now perform the coordination that used to require a person, which is what makes offering local sourcing profitable. That capability is recent, and it is the opportunity.</w:t>
      </w:r>
    </w:p>
    <w:p>
      <w:pPr>
        <w:spacing w:before="220" w:after="60"/>
      </w:pPr>
      <w:r>
        <w:rPr>
          <w:b/>
          <w:color w:val="235C3A"/>
          <w:sz w:val="24"/>
        </w:rPr>
        <w:t>Market and Timing</w:t>
      </w:r>
    </w:p>
    <w:p>
      <w:pPr>
        <w:jc w:val="both"/>
      </w:pPr>
      <w:r>
        <w:rPr>
          <w:b w:val="0"/>
          <w:color w:val="16241C"/>
          <w:sz w:val="21"/>
        </w:rPr>
        <w:t xml:space="preserve">Independent full-service restaurants net about </w:t>
      </w:r>
      <w:r>
        <w:rPr>
          <w:b/>
          <w:color w:val="16241C"/>
          <w:sz w:val="21"/>
        </w:rPr>
        <w:t>3–5% of revenue</w:t>
      </w:r>
      <w:r>
        <w:rPr>
          <w:b w:val="0"/>
          <w:color w:val="16241C"/>
          <w:sz w:val="21"/>
        </w:rPr>
        <w:t xml:space="preserve">, with food and labor consuming roughly </w:t>
      </w:r>
      <w:r>
        <w:rPr>
          <w:b/>
          <w:color w:val="16241C"/>
          <w:sz w:val="21"/>
        </w:rPr>
        <w:t>60 cents of every dollar</w:t>
      </w:r>
      <w:r>
        <w:rPr>
          <w:b w:val="0"/>
          <w:color w:val="16241C"/>
          <w:sz w:val="21"/>
        </w:rPr>
        <w:t>.</w:t>
      </w:r>
      <w:r>
        <w:rPr>
          <w:color w:val="235C3A"/>
          <w:sz w:val="14"/>
          <w:vertAlign w:val="superscript"/>
        </w:rPr>
        <w:t>1</w:t>
      </w:r>
      <w:r>
        <w:rPr>
          <w:b w:val="0"/>
          <w:color w:val="16241C"/>
          <w:sz w:val="21"/>
        </w:rPr>
        <w:t xml:space="preserve"> Most growth has to come from charging more for the same seats, and local sourcing is a proven way to do it: </w:t>
      </w:r>
      <w:r>
        <w:rPr>
          <w:b/>
          <w:color w:val="16241C"/>
          <w:sz w:val="21"/>
        </w:rPr>
        <w:t>38% of U.S. diners</w:t>
      </w:r>
      <w:r>
        <w:rPr>
          <w:b w:val="0"/>
          <w:color w:val="16241C"/>
          <w:sz w:val="21"/>
        </w:rPr>
        <w:t xml:space="preserve"> are more likely to choose a restaurant offering locally sourced food,</w:t>
      </w:r>
      <w:r>
        <w:rPr>
          <w:color w:val="235C3A"/>
          <w:sz w:val="14"/>
          <w:vertAlign w:val="superscript"/>
        </w:rPr>
        <w:t>2</w:t>
      </w:r>
      <w:r>
        <w:rPr>
          <w:b w:val="0"/>
          <w:color w:val="16241C"/>
          <w:sz w:val="21"/>
        </w:rPr>
        <w:t xml:space="preserve"> and the share rating ingredient transparency as important rose from </w:t>
      </w:r>
      <w:r>
        <w:rPr>
          <w:b/>
          <w:color w:val="16241C"/>
          <w:sz w:val="21"/>
        </w:rPr>
        <w:t>69% in 2018 to 76% in 2023</w:t>
      </w:r>
      <w:r>
        <w:rPr>
          <w:b w:val="0"/>
          <w:color w:val="16241C"/>
          <w:sz w:val="21"/>
        </w:rPr>
        <w:t>.</w:t>
      </w:r>
      <w:r>
        <w:rPr>
          <w:color w:val="235C3A"/>
          <w:sz w:val="14"/>
          <w:vertAlign w:val="superscript"/>
        </w:rPr>
        <w:t>3</w:t>
      </w:r>
      <w:r>
        <w:rPr>
          <w:b w:val="0"/>
          <w:color w:val="16241C"/>
          <w:sz w:val="21"/>
        </w:rPr>
        <w:t xml:space="preserve"> Sourcing locally by hand requires finding farms, vetting them, negotiating, contracting, scheduling, and covering shortfalls.</w:t>
      </w:r>
    </w:p>
    <w:p>
      <w:pPr>
        <w:jc w:val="both"/>
      </w:pPr>
      <w:r>
        <w:rPr>
          <w:b w:val="0"/>
          <w:color w:val="16241C"/>
          <w:sz w:val="21"/>
        </w:rPr>
        <w:t xml:space="preserve">The U.S. restaurant market is about </w:t>
      </w:r>
      <w:r>
        <w:rPr>
          <w:b/>
          <w:color w:val="16241C"/>
          <w:sz w:val="21"/>
        </w:rPr>
        <w:t>$1.1 trillion</w:t>
      </w:r>
      <w:r>
        <w:rPr>
          <w:b w:val="0"/>
          <w:color w:val="16241C"/>
          <w:sz w:val="21"/>
        </w:rPr>
        <w:t xml:space="preserve"> across roughly </w:t>
      </w:r>
      <w:r>
        <w:rPr>
          <w:b/>
          <w:color w:val="16241C"/>
          <w:sz w:val="21"/>
        </w:rPr>
        <w:t>1 million</w:t>
      </w:r>
      <w:r>
        <w:rPr>
          <w:b w:val="0"/>
          <w:color w:val="16241C"/>
          <w:sz w:val="21"/>
        </w:rPr>
        <w:t xml:space="preserve"> locations.</w:t>
      </w:r>
      <w:r>
        <w:rPr>
          <w:color w:val="235C3A"/>
          <w:sz w:val="14"/>
          <w:vertAlign w:val="superscript"/>
        </w:rPr>
        <w:t>4</w:t>
      </w:r>
      <w:r>
        <w:rPr>
          <w:b w:val="0"/>
          <w:color w:val="16241C"/>
          <w:sz w:val="21"/>
        </w:rPr>
        <w:t xml:space="preserve"> Of those, we estimate about </w:t>
      </w:r>
      <w:r>
        <w:rPr>
          <w:b/>
          <w:color w:val="16241C"/>
          <w:sz w:val="21"/>
        </w:rPr>
        <w:t>150,000 are independent full-service restaurants that would plausibly buy</w:t>
      </w:r>
      <w:r>
        <w:rPr>
          <w:b w:val="0"/>
          <w:color w:val="16241C"/>
          <w:sz w:val="21"/>
        </w:rPr>
        <w:t xml:space="preserve"> — chef-driven, mid-to-upscale operators that value local sourcing — a serviceable market of roughly </w:t>
      </w:r>
      <w:r>
        <w:rPr>
          <w:b/>
          <w:color w:val="16241C"/>
          <w:sz w:val="21"/>
        </w:rPr>
        <w:t>$1.6 billion a year</w:t>
      </w:r>
      <w:r>
        <w:rPr>
          <w:b w:val="0"/>
          <w:color w:val="16241C"/>
          <w:sz w:val="21"/>
        </w:rPr>
        <w:t xml:space="preserve"> at our pricing.</w:t>
      </w:r>
      <w:r>
        <w:rPr>
          <w:color w:val="235C3A"/>
          <w:sz w:val="14"/>
          <w:vertAlign w:val="superscript"/>
        </w:rPr>
        <w:t>5</w:t>
      </w:r>
      <w:r>
        <w:rPr>
          <w:b w:val="0"/>
          <w:color w:val="16241C"/>
          <w:sz w:val="21"/>
        </w:rPr>
        <w:t xml:space="preserve"> In the </w:t>
      </w:r>
      <w:r>
        <w:rPr>
          <w:b/>
          <w:color w:val="16241C"/>
          <w:sz w:val="21"/>
        </w:rPr>
        <w:t>Indianapolis</w:t>
      </w:r>
      <w:r>
        <w:rPr>
          <w:b w:val="0"/>
          <w:color w:val="16241C"/>
          <w:sz w:val="21"/>
        </w:rPr>
        <w:t xml:space="preserve"> metro, of about 4,500 restaurants we estimate roughly </w:t>
      </w:r>
      <w:r>
        <w:rPr>
          <w:b/>
          <w:color w:val="16241C"/>
          <w:sz w:val="21"/>
        </w:rPr>
        <w:t>1,500 fit that profile</w:t>
      </w:r>
      <w:r>
        <w:rPr>
          <w:b w:val="0"/>
          <w:color w:val="16241C"/>
          <w:sz w:val="21"/>
        </w:rPr>
        <w:t xml:space="preserve">, about </w:t>
      </w:r>
      <w:r>
        <w:rPr>
          <w:b/>
          <w:color w:val="16241C"/>
          <w:sz w:val="21"/>
        </w:rPr>
        <w:t>$16 million a year</w:t>
      </w:r>
      <w:r>
        <w:rPr>
          <w:b w:val="0"/>
          <w:color w:val="16241C"/>
          <w:sz w:val="21"/>
        </w:rPr>
        <w:t>.</w:t>
      </w:r>
      <w:r>
        <w:rPr>
          <w:color w:val="235C3A"/>
          <w:sz w:val="14"/>
          <w:vertAlign w:val="superscript"/>
        </w:rPr>
        <w:t>5</w:t>
      </w:r>
      <w:r>
        <w:rPr>
          <w:b w:val="0"/>
          <w:color w:val="16241C"/>
          <w:sz w:val="21"/>
        </w:rPr>
        <w:t xml:space="preserve"> We start in Indianapolis and repeat the same playbook city by city; each metro is a self-contained, profitable unit. Beyond restaurants, the farm relationships and the allocation layer become a demand aggregator for growers — a </w:t>
      </w:r>
      <w:r>
        <w:rPr>
          <w:b/>
          <w:color w:val="16241C"/>
          <w:sz w:val="21"/>
        </w:rPr>
        <w:t>farming platform</w:t>
      </w:r>
      <w:r>
        <w:rPr>
          <w:b w:val="0"/>
          <w:color w:val="16241C"/>
          <w:sz w:val="21"/>
        </w:rPr>
        <w:t xml:space="preserve"> larger than restaurant sourcing alone.</w:t>
      </w:r>
    </w:p>
    <w:p>
      <w:pPr>
        <w:spacing w:before="220" w:after="60"/>
      </w:pPr>
      <w:r>
        <w:rPr>
          <w:b/>
          <w:color w:val="235C3A"/>
          <w:sz w:val="24"/>
        </w:rPr>
        <w:t>Product</w:t>
      </w:r>
    </w:p>
    <w:p>
      <w:pPr>
        <w:jc w:val="both"/>
      </w:pPr>
      <w:r>
        <w:rPr>
          <w:b w:val="0"/>
          <w:color w:val="16241C"/>
          <w:sz w:val="21"/>
        </w:rPr>
        <w:t xml:space="preserve">The restaurant enters one need — say, 40 lbs of heirloom tomatoes a week — and the agent runs the entire workflow </w:t>
      </w:r>
      <w:r>
        <w:rPr>
          <w:b/>
          <w:color w:val="16241C"/>
          <w:sz w:val="21"/>
        </w:rPr>
        <w:t>automatically</w:t>
      </w:r>
      <w:r>
        <w:rPr>
          <w:b w:val="0"/>
          <w:color w:val="16241C"/>
          <w:sz w:val="21"/>
        </w:rPr>
        <w:t xml:space="preserve">: it ranks vetted local farms by crop, distance, reliability, and price; splits the order across farms if one cannot cover it; drafts a contract and negotiates quality terms; schedules weekly third-party delivery; holds payment in escrow until delivery is confirmed; and tracks the added margin per dish. </w:t>
      </w:r>
      <w:r>
        <w:rPr>
          <w:b/>
          <w:color w:val="16241C"/>
          <w:sz w:val="21"/>
        </w:rPr>
        <w:t>This is real automation, not a manual service dressed as software</w:t>
      </w:r>
      <w:r>
        <w:rPr>
          <w:b w:val="0"/>
          <w:color w:val="16241C"/>
          <w:sz w:val="21"/>
        </w:rPr>
        <w:t xml:space="preserve"> — the founder built it as a working product, live today, including a free instant audit any restaurant can run before signing up.</w:t>
      </w:r>
    </w:p>
    <w:p>
      <w:pPr>
        <w:spacing w:before="220" w:after="60"/>
      </w:pPr>
      <w:r>
        <w:rPr>
          <w:b/>
          <w:color w:val="235C3A"/>
          <w:sz w:val="24"/>
        </w:rPr>
        <w:t>Business Model</w:t>
      </w:r>
    </w:p>
    <w:p>
      <w:pPr>
        <w:jc w:val="both"/>
      </w:pPr>
      <w:r>
        <w:rPr>
          <w:b w:val="0"/>
          <w:color w:val="16241C"/>
          <w:sz w:val="21"/>
        </w:rPr>
        <w:t xml:space="preserve">Revenue comes only from a monthly service fee. Food is billed at the farm's price and delivery is passed through at third-party cost, both with no markup. The fee is a </w:t>
      </w:r>
      <w:r>
        <w:rPr>
          <w:b/>
          <w:color w:val="16241C"/>
          <w:sz w:val="21"/>
        </w:rPr>
        <w:t>$299</w:t>
      </w:r>
      <w:r>
        <w:rPr>
          <w:b w:val="0"/>
          <w:color w:val="16241C"/>
          <w:sz w:val="21"/>
        </w:rPr>
        <w:t xml:space="preserve"> base plus a per-item fee that scales with volume, blending to about </w:t>
      </w:r>
      <w:r>
        <w:rPr>
          <w:b/>
          <w:color w:val="16241C"/>
          <w:sz w:val="21"/>
        </w:rPr>
        <w:t>$896 per restaurant per month</w:t>
      </w:r>
      <w:r>
        <w:rPr>
          <w:b w:val="0"/>
          <w:color w:val="16241C"/>
          <w:sz w:val="21"/>
        </w:rPr>
        <w:t xml:space="preserve"> (~$10,700/year). Because our costs are software, agent compute, and a thin coordination layer, the service-fee gross margin is high.</w:t>
      </w:r>
    </w:p>
    <w:p>
      <w:pPr>
        <w:spacing w:before="220" w:after="60"/>
      </w:pPr>
      <w:r>
        <w:rPr>
          <w:b/>
          <w:color w:val="235C3A"/>
          <w:sz w:val="24"/>
        </w:rPr>
        <w:t>Unit Economics</w:t>
      </w:r>
    </w:p>
    <w:p>
      <w:pPr>
        <w:jc w:val="both"/>
      </w:pPr>
      <w:r>
        <w:rPr>
          <w:b w:val="0"/>
          <w:color w:val="16241C"/>
          <w:sz w:val="21"/>
        </w:rPr>
        <w:t>These are targets, not results; we are pre-revenue and will validate them against the first cohort.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ARPA:</w:t>
      </w:r>
      <w:r>
        <w:rPr>
          <w:b w:val="0"/>
          <w:color w:val="16241C"/>
          <w:sz w:val="21"/>
        </w:rPr>
        <w:t xml:space="preserve"> ~$896/month at maturity, starting near $400 on the first ingredient and growing as items are added.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Gross margin:</w:t>
      </w:r>
      <w:r>
        <w:rPr>
          <w:b w:val="0"/>
          <w:color w:val="16241C"/>
          <w:sz w:val="21"/>
        </w:rPr>
        <w:t xml:space="preserve"> ~80%, or about </w:t>
      </w:r>
      <w:r>
        <w:rPr>
          <w:b/>
          <w:color w:val="16241C"/>
          <w:sz w:val="21"/>
        </w:rPr>
        <w:t>$717/month</w:t>
      </w:r>
      <w:r>
        <w:rPr>
          <w:b w:val="0"/>
          <w:color w:val="16241C"/>
          <w:sz w:val="21"/>
        </w:rPr>
        <w:t xml:space="preserve"> of gross profit per restaurant.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CAC: ~$850 per restaurant</w:t>
      </w:r>
      <w:r>
        <w:rPr>
          <w:b w:val="0"/>
          <w:color w:val="16241C"/>
          <w:sz w:val="21"/>
        </w:rPr>
        <w:t xml:space="preserve"> — sales commission ~$400, the first ingredient serviced free (~$300 in foregone fee), and onboarding plus tasting samples ~$150.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Payback:</w:t>
      </w:r>
      <w:r>
        <w:rPr>
          <w:b w:val="0"/>
          <w:color w:val="16241C"/>
          <w:sz w:val="21"/>
        </w:rPr>
        <w:t xml:space="preserve"> about </w:t>
      </w:r>
      <w:r>
        <w:rPr>
          <w:b/>
          <w:color w:val="16241C"/>
          <w:sz w:val="21"/>
        </w:rPr>
        <w:t>one to two months</w:t>
      </w:r>
      <w:r>
        <w:rPr>
          <w:b w:val="0"/>
          <w:color w:val="16241C"/>
          <w:sz w:val="21"/>
        </w:rPr>
        <w:t xml:space="preserve"> at target margin.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Monthly churn:</w:t>
      </w:r>
      <w:r>
        <w:rPr>
          <w:b w:val="0"/>
          <w:color w:val="16241C"/>
          <w:sz w:val="21"/>
        </w:rPr>
        <w:t xml:space="preserve"> assume ~3%, reflecting normal restaurant turnover; the embedded sourcing, contracts, and deliveries should make real churn lower.</w:t>
      </w:r>
    </w:p>
    <w:p>
      <w:pPr>
        <w:jc w:val="both"/>
      </w:pPr>
      <w:r>
        <w:rPr>
          <w:b w:val="0"/>
          <w:color w:val="16241C"/>
          <w:sz w:val="21"/>
        </w:rPr>
        <w:t>We treat lifetime value as a hypothesis to test with data, not a number to lead with.</w:t>
      </w:r>
    </w:p>
    <w:p>
      <w:pPr>
        <w:spacing w:before="220" w:after="60"/>
      </w:pPr>
      <w:r>
        <w:rPr>
          <w:b/>
          <w:color w:val="235C3A"/>
          <w:sz w:val="24"/>
        </w:rPr>
        <w:t>Go-to-Market</w:t>
      </w:r>
    </w:p>
    <w:p>
      <w:pPr>
        <w:jc w:val="both"/>
      </w:pPr>
      <w:r>
        <w:rPr>
          <w:b w:val="0"/>
          <w:color w:val="16241C"/>
          <w:sz w:val="21"/>
        </w:rPr>
        <w:t>We win one metro at a time and earn density before expanding. The Indianapolis plan: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Supply first.</w:t>
      </w:r>
      <w:r>
        <w:rPr>
          <w:b w:val="0"/>
          <w:color w:val="16241C"/>
          <w:sz w:val="21"/>
        </w:rPr>
        <w:t xml:space="preserve"> Pre-sign 8–12 vetted farms across the core crops so fill is guaranteed before we sell a restaurant, removing the cold-start problem.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Target list.</w:t>
      </w:r>
      <w:r>
        <w:rPr>
          <w:b w:val="0"/>
          <w:color w:val="16241C"/>
          <w:sz w:val="21"/>
        </w:rPr>
        <w:t xml:space="preserve"> A part-time industry insider builds a list of ~150 chef-driven independents from existing relationships.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Outreach.</w:t>
      </w:r>
      <w:r>
        <w:rPr>
          <w:b w:val="0"/>
          <w:color w:val="16241C"/>
          <w:sz w:val="21"/>
        </w:rPr>
        <w:t xml:space="preserve"> Before each conversation we run the free audit on the prospect's menu and bring a specific, quantified estimate of the margin they are leaving behind.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Offer and risk reversal.</w:t>
      </w:r>
      <w:r>
        <w:rPr>
          <w:b w:val="0"/>
          <w:color w:val="16241C"/>
          <w:sz w:val="21"/>
        </w:rPr>
        <w:t xml:space="preserve"> First ingredient free, ten-minute setup, cancel any month. The guarantee — we find more than we cost or the month is free — is an </w:t>
      </w:r>
      <w:r>
        <w:rPr>
          <w:b/>
          <w:color w:val="16241C"/>
          <w:sz w:val="21"/>
        </w:rPr>
        <w:t>acquisition tool</w:t>
      </w:r>
      <w:r>
        <w:rPr>
          <w:b w:val="0"/>
          <w:color w:val="16241C"/>
          <w:sz w:val="21"/>
        </w:rPr>
        <w:t xml:space="preserve"> that removes the buyer's risk and shortens the sales cycle; because the savings we find typically exceed the fee, the exposure is small.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Land and expand.</w:t>
      </w:r>
      <w:r>
        <w:rPr>
          <w:b w:val="0"/>
          <w:color w:val="16241C"/>
          <w:sz w:val="21"/>
        </w:rPr>
        <w:t xml:space="preserve"> Start with one ingredient (~$400/month) and grow the account toward the ~$896 blended ARPA.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Expansion trigger.</w:t>
      </w:r>
      <w:r>
        <w:rPr>
          <w:b w:val="0"/>
          <w:color w:val="16241C"/>
          <w:sz w:val="21"/>
        </w:rPr>
        <w:t xml:space="preserve"> At roughly 30–40 kitchens and 15+ farms in Indianapolis, open the next metro with the same playbook.</w:t>
      </w:r>
    </w:p>
    <w:p>
      <w:pPr>
        <w:spacing w:before="220" w:after="60"/>
      </w:pPr>
      <w:r>
        <w:rPr>
          <w:b/>
          <w:color w:val="235C3A"/>
          <w:sz w:val="24"/>
        </w:rPr>
        <w:t>Why We Win</w:t>
      </w:r>
    </w:p>
    <w:p>
      <w:pPr>
        <w:jc w:val="both"/>
      </w:pPr>
      <w:r>
        <w:rPr>
          <w:b w:val="0"/>
          <w:color w:val="16241C"/>
          <w:sz w:val="21"/>
        </w:rPr>
        <w:t xml:space="preserve">Many have tried farm-to-table distribution and failed. Webvan raised more than </w:t>
      </w:r>
      <w:r>
        <w:rPr>
          <w:b/>
          <w:color w:val="16241C"/>
          <w:sz w:val="21"/>
        </w:rPr>
        <w:t>$800M</w:t>
      </w:r>
      <w:r>
        <w:rPr>
          <w:b w:val="0"/>
          <w:color w:val="16241C"/>
          <w:sz w:val="21"/>
        </w:rPr>
        <w:t>, built its own warehouses and trucks, expanded city by city, and went bankrupt in 2001.</w:t>
      </w:r>
      <w:r>
        <w:rPr>
          <w:color w:val="235C3A"/>
          <w:sz w:val="14"/>
          <w:vertAlign w:val="superscript"/>
        </w:rPr>
        <w:t>6</w:t>
      </w:r>
      <w:r>
        <w:rPr>
          <w:b w:val="0"/>
          <w:color w:val="16241C"/>
          <w:sz w:val="21"/>
        </w:rPr>
        <w:t xml:space="preserve"> Good Eggs raised ~$50M, scaled to four cities, and in 2015 retreated to one.</w:t>
      </w:r>
      <w:r>
        <w:rPr>
          <w:color w:val="235C3A"/>
          <w:sz w:val="14"/>
          <w:vertAlign w:val="superscript"/>
        </w:rPr>
        <w:t>6</w:t>
      </w:r>
      <w:r>
        <w:rPr>
          <w:b w:val="0"/>
          <w:color w:val="16241C"/>
          <w:sz w:val="21"/>
        </w:rPr>
        <w:t xml:space="preserve"> Farmigo, Door to Door Organics, and Relay Foods each aggregated small farms and delivered the food themselves, and each closed by 2016.</w:t>
      </w:r>
      <w:r>
        <w:rPr>
          <w:color w:val="235C3A"/>
          <w:sz w:val="14"/>
          <w:vertAlign w:val="superscript"/>
        </w:rPr>
        <w:t>6</w:t>
      </w:r>
      <w:r>
        <w:rPr>
          <w:b w:val="0"/>
          <w:color w:val="16241C"/>
          <w:sz w:val="21"/>
        </w:rPr>
        <w:t xml:space="preserve"> In every case the company owned the perishable inventory and the logistics, sold to price-sensitive consumers, and expanded before the unit economics worked. We avoid all three: we own no inventory or logistics, we sell to restaurants on a recurring fee, and we earn density in one metro before expanding.</w:t>
      </w:r>
    </w:p>
    <w:p>
      <w:pPr>
        <w:jc w:val="both"/>
      </w:pPr>
      <w:r>
        <w:rPr>
          <w:b w:val="0"/>
          <w:color w:val="16241C"/>
          <w:sz w:val="21"/>
        </w:rPr>
        <w:t>The density becomes the moat. Vetting a city's farms once forces a rival to rebuild the entire local supply base; every contract and delivery trains the agent on local supply and demand; and a kitchen that runs its sourcing, contracts, and deliveries through us would have to rebuild its supply chain by hand to leave.</w:t>
      </w:r>
    </w:p>
    <w:p>
      <w:pPr>
        <w:spacing w:before="220" w:after="60"/>
      </w:pPr>
      <w:r>
        <w:rPr>
          <w:b/>
          <w:color w:val="235C3A"/>
          <w:sz w:val="24"/>
        </w:rPr>
        <w:t>Team</w:t>
      </w:r>
    </w:p>
    <w:p>
      <w:pPr>
        <w:jc w:val="both"/>
      </w:pPr>
      <w:r>
        <w:rPr>
          <w:b/>
          <w:color w:val="16241C"/>
          <w:sz w:val="21"/>
        </w:rPr>
        <w:t>Keshav Krishnan</w:t>
      </w:r>
      <w:r>
        <w:rPr>
          <w:b w:val="0"/>
          <w:color w:val="16241C"/>
          <w:sz w:val="21"/>
        </w:rPr>
        <w:t xml:space="preserve">, founder. His research on the </w:t>
      </w:r>
      <w:r>
        <w:rPr>
          <w:b/>
          <w:color w:val="16241C"/>
          <w:sz w:val="21"/>
        </w:rPr>
        <w:t>economic cost of climate-driven migration</w:t>
      </w:r>
      <w:r>
        <w:rPr>
          <w:b w:val="0"/>
          <w:color w:val="16241C"/>
          <w:sz w:val="21"/>
        </w:rPr>
        <w:t xml:space="preserve"> gave him a data-level view of how fragile long-distance food supply chains are and why regional, resilient sourcing is where the system is heading — the conviction behind CropConnect. He also </w:t>
      </w:r>
      <w:r>
        <w:rPr>
          <w:b/>
          <w:color w:val="16241C"/>
          <w:sz w:val="21"/>
        </w:rPr>
        <w:t>built the entire product solo</w:t>
      </w:r>
      <w:r>
        <w:rPr>
          <w:b w:val="0"/>
          <w:color w:val="16241C"/>
          <w:sz w:val="21"/>
        </w:rPr>
        <w:t xml:space="preserve">, from the agent to the contracts and escrow, which is why a working platform already exists at the pre-seed stage. Early sales are led by a </w:t>
      </w:r>
      <w:r>
        <w:rPr>
          <w:b/>
          <w:color w:val="16241C"/>
          <w:sz w:val="21"/>
        </w:rPr>
        <w:t>part-time industry insider</w:t>
      </w:r>
      <w:r>
        <w:rPr>
          <w:b w:val="0"/>
          <w:color w:val="16241C"/>
          <w:sz w:val="21"/>
        </w:rPr>
        <w:t xml:space="preserve"> with existing restaurant relationships in the market.</w:t>
      </w:r>
    </w:p>
    <w:p>
      <w:pPr>
        <w:spacing w:after="80"/>
      </w:pPr>
      <w:r>
        <w:rPr>
          <w:b w:val="0"/>
          <w:color w:val="5B6B60"/>
          <w:sz w:val="19"/>
        </w:rPr>
        <w:t>To complete before sending: the insider's name and relationships, and one concrete result or figure from your climate-migration research.</w:t>
      </w:r>
    </w:p>
    <w:p>
      <w:pPr>
        <w:spacing w:before="220" w:after="60"/>
      </w:pPr>
      <w:r>
        <w:rPr>
          <w:b/>
          <w:color w:val="235C3A"/>
          <w:sz w:val="24"/>
        </w:rPr>
        <w:t>Status and Ask</w:t>
      </w:r>
    </w:p>
    <w:p>
      <w:pPr>
        <w:jc w:val="both"/>
      </w:pPr>
      <w:r>
        <w:rPr>
          <w:b w:val="0"/>
          <w:color w:val="16241C"/>
          <w:sz w:val="21"/>
        </w:rPr>
        <w:t xml:space="preserve">The product is built and live; we are </w:t>
      </w:r>
      <w:r>
        <w:rPr>
          <w:b/>
          <w:color w:val="16241C"/>
          <w:sz w:val="21"/>
        </w:rPr>
        <w:t>pre-revenue</w:t>
      </w:r>
      <w:r>
        <w:rPr>
          <w:b w:val="0"/>
          <w:color w:val="16241C"/>
          <w:sz w:val="21"/>
        </w:rPr>
        <w:t xml:space="preserve">. We are raising </w:t>
      </w:r>
      <w:r>
        <w:rPr>
          <w:b/>
          <w:color w:val="16241C"/>
          <w:sz w:val="21"/>
        </w:rPr>
        <w:t>$50,000–$100,000</w:t>
      </w:r>
      <w:r>
        <w:rPr>
          <w:b w:val="0"/>
          <w:color w:val="16241C"/>
          <w:sz w:val="21"/>
        </w:rPr>
        <w:t xml:space="preserve"> on a post-money SAFE (</w:t>
      </w:r>
      <w:r>
        <w:rPr>
          <w:b/>
          <w:color w:val="16241C"/>
          <w:sz w:val="21"/>
        </w:rPr>
        <w:t>$4M</w:t>
      </w:r>
      <w:r>
        <w:rPr>
          <w:b w:val="0"/>
          <w:color w:val="16241C"/>
          <w:sz w:val="21"/>
        </w:rPr>
        <w:t xml:space="preserve"> cap, </w:t>
      </w:r>
      <w:r>
        <w:rPr>
          <w:b/>
          <w:color w:val="16241C"/>
          <w:sz w:val="21"/>
        </w:rPr>
        <w:t>20%</w:t>
      </w:r>
      <w:r>
        <w:rPr>
          <w:b w:val="0"/>
          <w:color w:val="16241C"/>
          <w:sz w:val="21"/>
        </w:rPr>
        <w:t xml:space="preserve"> discount, MFN), with about </w:t>
      </w:r>
      <w:r>
        <w:rPr>
          <w:b/>
          <w:color w:val="16241C"/>
          <w:sz w:val="21"/>
        </w:rPr>
        <w:t>80%</w:t>
      </w:r>
      <w:r>
        <w:rPr>
          <w:b w:val="0"/>
          <w:color w:val="16241C"/>
          <w:sz w:val="21"/>
        </w:rPr>
        <w:t xml:space="preserve"> going to sales. The round funds one milestone: </w:t>
      </w:r>
      <w:r>
        <w:rPr>
          <w:b/>
          <w:color w:val="16241C"/>
          <w:sz w:val="21"/>
        </w:rPr>
        <w:t>15 paying kitchens and ~$13,000 in monthly recurring revenue in Indianapolis within 90 days</w:t>
      </w:r>
      <w:r>
        <w:rPr>
          <w:b w:val="0"/>
          <w:color w:val="16241C"/>
          <w:sz w:val="21"/>
        </w:rPr>
        <w:t xml:space="preserve"> — the proof point to raise a priced seed.</w:t>
      </w:r>
    </w:p>
    <w:p>
      <w:pPr>
        <w:spacing w:before="220" w:after="60"/>
      </w:pPr>
      <w:r>
        <w:rPr>
          <w:b/>
          <w:color w:val="235C3A"/>
          <w:sz w:val="24"/>
        </w:rPr>
        <w:t>Risks and Open Questions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Willingness to pay is unproven.</w:t>
      </w:r>
      <w:r>
        <w:rPr>
          <w:b w:val="0"/>
          <w:color w:val="16241C"/>
          <w:sz w:val="21"/>
        </w:rPr>
        <w:t xml:space="preserve"> Being pre-revenue, we have not yet confirmed a restaurant will pay ~$896/month. Mitigation: the free audit quantifies the return before they pay, and a guarantee backs it.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Acquisition is unproven.</w:t>
      </w:r>
      <w:r>
        <w:rPr>
          <w:b w:val="0"/>
          <w:color w:val="16241C"/>
          <w:sz w:val="21"/>
        </w:rPr>
        <w:t xml:space="preserve"> Restaurants are slow, low-tech buyers; the insider/warm-intro motion may not scale cheaply. Mitigation: start where introductions exist and measure CAC and sales-cycle from the first cohort.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Operational reliability.</w:t>
      </w:r>
      <w:r>
        <w:rPr>
          <w:b w:val="0"/>
          <w:color w:val="16241C"/>
          <w:sz w:val="21"/>
        </w:rPr>
        <w:t xml:space="preserve"> A single missed delivery breaks trust, and coordinating perishable weekly supply is hard even asset-light. Mitigation: a backup farm stands by for every crop; escrow aligns the farm's incentive to deliver.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Churn.</w:t>
      </w:r>
      <w:r>
        <w:rPr>
          <w:b w:val="0"/>
          <w:color w:val="16241C"/>
          <w:sz w:val="21"/>
        </w:rPr>
        <w:t xml:space="preserve"> Independent restaurants close often and run thin. Mitigation: deep switching costs once we are embedded in their sourcing and contracts.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Cold start / density.</w:t>
      </w:r>
      <w:r>
        <w:rPr>
          <w:b w:val="0"/>
          <w:color w:val="16241C"/>
          <w:sz w:val="21"/>
        </w:rPr>
        <w:t xml:space="preserve"> The flywheel needs both farms and restaurants in a metro. Mitigation: seed the farm side first and stay in one metro until it is dense.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Team depth.</w:t>
      </w:r>
      <w:r>
        <w:rPr>
          <w:b w:val="0"/>
          <w:color w:val="16241C"/>
          <w:sz w:val="21"/>
        </w:rPr>
        <w:t xml:space="preserve"> A solo team is key-person risk. Mitigation: this round funds the first dedicated sales hire.</w:t>
      </w:r>
    </w:p>
    <w:p>
      <w:pPr>
        <w:spacing w:before="280"/>
      </w:pPr>
      <w:r>
        <w:rPr>
          <w:b w:val="0"/>
          <w:color w:val="5B6B60"/>
          <w:sz w:val="17"/>
        </w:rPr>
        <w:t>Sources.  1 — Restaurant net-margin and prime-cost benchmarks: National Restaurant Association; Restaurant365 industry benchmarks.  2 — National Restaurant Association, 2022 State of the Restaurant Industry.  3 — FMI, transparency and foodservice trends, 2023.  4 — National Restaurant Association, 2024 industry forecast.  5 — U.S. and Indianapolis target-segment restaurant counts and the revenue estimates derived from them are internal estimates.  6 — Company outcomes are publicly reported: Webvan (bankruptcy, 2001); Good Eggs (layoffs and market exit, 2015); Farmigo, Door to Door Organics, and Relay Foods (ceased food operations, 2016).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624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