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b/>
          <w:color w:val="16241C"/>
          <w:sz w:val="38"/>
        </w:rPr>
        <w:t>CropConnect — Investor Pre-Read</w:t>
      </w:r>
    </w:p>
    <w:p>
      <w:pPr>
        <w:spacing w:before="220" w:after="60"/>
      </w:pPr>
      <w:r>
        <w:rPr>
          <w:b/>
          <w:color w:val="235C3A"/>
          <w:sz w:val="24"/>
        </w:rPr>
        <w:t>Problem</w:t>
      </w:r>
    </w:p>
    <w:p>
      <w:pPr>
        <w:jc w:val="both"/>
      </w:pPr>
      <w:r>
        <w:rPr>
          <w:b w:val="0"/>
          <w:color w:val="16241C"/>
          <w:sz w:val="21"/>
        </w:rPr>
        <w:t xml:space="preserve">Independent full-service restaurants run on a net margin of about </w:t>
      </w:r>
      <w:r>
        <w:rPr>
          <w:b/>
          <w:color w:val="16241C"/>
          <w:sz w:val="21"/>
        </w:rPr>
        <w:t>3–5% of revenue</w:t>
      </w:r>
      <w:r>
        <w:rPr>
          <w:b w:val="0"/>
          <w:color w:val="16241C"/>
          <w:sz w:val="21"/>
        </w:rPr>
        <w:t>.</w:t>
      </w:r>
      <w:r>
        <w:rPr>
          <w:color w:val="235C3A"/>
          <w:sz w:val="14"/>
          <w:vertAlign w:val="superscript"/>
        </w:rPr>
        <w:t>1</w:t>
      </w:r>
      <w:r>
        <w:rPr>
          <w:b w:val="0"/>
          <w:color w:val="16241C"/>
          <w:sz w:val="21"/>
        </w:rPr>
        <w:t xml:space="preserve"> Food and labor alone consume roughly </w:t>
      </w:r>
      <w:r>
        <w:rPr>
          <w:b/>
          <w:color w:val="16241C"/>
          <w:sz w:val="21"/>
        </w:rPr>
        <w:t>60 cents of every dollar</w:t>
      </w:r>
      <w:r>
        <w:rPr>
          <w:b w:val="0"/>
          <w:color w:val="16241C"/>
          <w:sz w:val="21"/>
        </w:rPr>
        <w:t>.</w:t>
      </w:r>
      <w:r>
        <w:rPr>
          <w:color w:val="235C3A"/>
          <w:sz w:val="14"/>
          <w:vertAlign w:val="superscript"/>
        </w:rPr>
        <w:t>1</w:t>
      </w:r>
      <w:r>
        <w:rPr>
          <w:b w:val="0"/>
          <w:color w:val="16241C"/>
          <w:sz w:val="21"/>
        </w:rPr>
        <w:t xml:space="preserve"> There is almost no room to cut, so growth has to come from charging more for the same seats.</w:t>
      </w:r>
    </w:p>
    <w:p>
      <w:pPr>
        <w:jc w:val="both"/>
      </w:pPr>
      <w:r>
        <w:rPr>
          <w:b w:val="0"/>
          <w:color w:val="16241C"/>
          <w:sz w:val="21"/>
        </w:rPr>
        <w:t xml:space="preserve">Local sourcing is how kitchens do that. </w:t>
      </w:r>
      <w:r>
        <w:rPr>
          <w:b/>
          <w:color w:val="16241C"/>
          <w:sz w:val="21"/>
        </w:rPr>
        <w:t>38% of U.S. diners</w:t>
      </w:r>
      <w:r>
        <w:rPr>
          <w:b w:val="0"/>
          <w:color w:val="16241C"/>
          <w:sz w:val="21"/>
        </w:rPr>
        <w:t xml:space="preserve"> say they are more likely to choose a restaurant that offers locally sourced food,</w:t>
      </w:r>
      <w:r>
        <w:rPr>
          <w:color w:val="235C3A"/>
          <w:sz w:val="14"/>
          <w:vertAlign w:val="superscript"/>
        </w:rPr>
        <w:t>2</w:t>
      </w:r>
      <w:r>
        <w:rPr>
          <w:b w:val="0"/>
          <w:color w:val="16241C"/>
          <w:sz w:val="21"/>
        </w:rPr>
        <w:t xml:space="preserve"> and </w:t>
      </w:r>
      <w:r>
        <w:rPr>
          <w:b/>
          <w:color w:val="16241C"/>
          <w:sz w:val="21"/>
        </w:rPr>
        <w:t>55%</w:t>
      </w:r>
      <w:r>
        <w:rPr>
          <w:b w:val="0"/>
          <w:color w:val="16241C"/>
          <w:sz w:val="21"/>
        </w:rPr>
        <w:t xml:space="preserve"> want to know the story behind what they eat.</w:t>
      </w:r>
      <w:r>
        <w:rPr>
          <w:color w:val="235C3A"/>
          <w:sz w:val="14"/>
          <w:vertAlign w:val="superscript"/>
        </w:rPr>
        <w:t>3</w:t>
      </w:r>
      <w:r>
        <w:rPr>
          <w:b w:val="0"/>
          <w:color w:val="16241C"/>
          <w:sz w:val="21"/>
        </w:rPr>
        <w:t xml:space="preserve"> But sourcing locally by hand is a second full-time job: finding farms, vetting them, negotiating prices, writing agreements, scheduling deliveries, and covering shortfalls when a crop comes up short. An owner already working 60-hour weeks skips it. </w:t>
      </w:r>
      <w:r>
        <w:rPr>
          <w:b/>
          <w:color w:val="16241C"/>
          <w:sz w:val="21"/>
        </w:rPr>
        <w:t>The demand exists; the labor to capture it does not.</w:t>
      </w:r>
    </w:p>
    <w:p>
      <w:pPr>
        <w:spacing w:before="220" w:after="60"/>
      </w:pPr>
      <w:r>
        <w:rPr>
          <w:b/>
          <w:color w:val="235C3A"/>
          <w:sz w:val="24"/>
        </w:rPr>
        <w:t>Product</w:t>
      </w:r>
    </w:p>
    <w:p>
      <w:pPr>
        <w:jc w:val="both"/>
      </w:pPr>
      <w:r>
        <w:rPr>
          <w:b w:val="0"/>
          <w:color w:val="16241C"/>
          <w:sz w:val="21"/>
        </w:rPr>
        <w:t xml:space="preserve">CropConnect is an AI agent that runs local sourcing end to end. The restaurant enters one need — say, </w:t>
      </w:r>
      <w:r>
        <w:rPr>
          <w:b/>
          <w:color w:val="16241C"/>
          <w:sz w:val="21"/>
        </w:rPr>
        <w:t>40 lbs of heirloom tomatoes a week</w:t>
      </w:r>
      <w:r>
        <w:rPr>
          <w:b w:val="0"/>
          <w:color w:val="16241C"/>
          <w:sz w:val="21"/>
        </w:rPr>
        <w:t>. With no further work from the owner, the agent:</w:t>
      </w:r>
    </w:p>
    <w:p>
      <w:pPr>
        <w:pStyle w:val="ListBullet"/>
        <w:spacing w:after="60"/>
      </w:pPr>
      <w:r>
        <w:rPr>
          <w:b w:val="0"/>
          <w:color w:val="16241C"/>
          <w:sz w:val="21"/>
        </w:rPr>
        <w:t>ranks vetted local farms by crop, distance, reliability, and price;</w:t>
      </w:r>
    </w:p>
    <w:p>
      <w:pPr>
        <w:pStyle w:val="ListBullet"/>
        <w:spacing w:after="60"/>
      </w:pPr>
      <w:r>
        <w:rPr>
          <w:b w:val="0"/>
          <w:color w:val="16241C"/>
          <w:sz w:val="21"/>
        </w:rPr>
        <w:t>splits the order across several farms if one cannot cover the volume;</w:t>
      </w:r>
    </w:p>
    <w:p>
      <w:pPr>
        <w:pStyle w:val="ListBullet"/>
        <w:spacing w:after="60"/>
      </w:pPr>
      <w:r>
        <w:rPr>
          <w:b w:val="0"/>
          <w:color w:val="16241C"/>
          <w:sz w:val="21"/>
        </w:rPr>
        <w:t>drafts a supply contract and runs a short negotiation over quality terms (organic, grade, freshness window);</w:t>
      </w:r>
    </w:p>
    <w:p>
      <w:pPr>
        <w:pStyle w:val="ListBullet"/>
        <w:spacing w:after="60"/>
      </w:pPr>
      <w:r>
        <w:rPr>
          <w:b w:val="0"/>
          <w:color w:val="16241C"/>
          <w:sz w:val="21"/>
        </w:rPr>
        <w:t>schedules weekly deliveries through third-party logistics;</w:t>
      </w:r>
    </w:p>
    <w:p>
      <w:pPr>
        <w:pStyle w:val="ListBullet"/>
        <w:spacing w:after="60"/>
      </w:pPr>
      <w:r>
        <w:rPr>
          <w:b w:val="0"/>
          <w:color w:val="16241C"/>
          <w:sz w:val="21"/>
        </w:rPr>
        <w:t>holds the food payment in escrow and releases it to the farm only after delivery is confirmed; and</w:t>
      </w:r>
    </w:p>
    <w:p>
      <w:pPr>
        <w:pStyle w:val="ListBullet"/>
        <w:spacing w:after="60"/>
      </w:pPr>
      <w:r>
        <w:rPr>
          <w:b w:val="0"/>
          <w:color w:val="16241C"/>
          <w:sz w:val="21"/>
        </w:rPr>
        <w:t>tracks the added margin on each dish.</w:t>
      </w:r>
    </w:p>
    <w:p>
      <w:pPr>
        <w:jc w:val="both"/>
      </w:pPr>
      <w:r>
        <w:rPr>
          <w:b w:val="0"/>
          <w:color w:val="16241C"/>
          <w:sz w:val="21"/>
        </w:rPr>
        <w:t xml:space="preserve">Setup takes about </w:t>
      </w:r>
      <w:r>
        <w:rPr>
          <w:b/>
          <w:color w:val="16241C"/>
          <w:sz w:val="21"/>
        </w:rPr>
        <w:t>ten minutes</w:t>
      </w:r>
      <w:r>
        <w:rPr>
          <w:b w:val="0"/>
          <w:color w:val="16241C"/>
          <w:sz w:val="21"/>
        </w:rPr>
        <w:t>, and the first ingredient is free. The product is built and live today, including the agent, the contracts, the escrow, and a free instant sourcing audit any restaurant can run before signing up.</w:t>
      </w:r>
    </w:p>
    <w:p>
      <w:pPr>
        <w:spacing w:before="220" w:after="60"/>
      </w:pPr>
      <w:r>
        <w:rPr>
          <w:b/>
          <w:color w:val="235C3A"/>
          <w:sz w:val="24"/>
        </w:rPr>
        <w:t>Why Now</w:t>
      </w:r>
    </w:p>
    <w:p>
      <w:pPr>
        <w:jc w:val="both"/>
      </w:pPr>
      <w:r>
        <w:rPr>
          <w:b w:val="0"/>
          <w:color w:val="16241C"/>
          <w:sz w:val="21"/>
        </w:rPr>
        <w:t xml:space="preserve">Two curves crossed. Diner demand for local has risen for years — the share of shoppers who rate ingredient transparency as important went from </w:t>
      </w:r>
      <w:r>
        <w:rPr>
          <w:b/>
          <w:color w:val="16241C"/>
          <w:sz w:val="21"/>
        </w:rPr>
        <w:t>69% in 2018 to 76% in 2023</w:t>
      </w:r>
      <w:r>
        <w:rPr>
          <w:b w:val="0"/>
          <w:color w:val="16241C"/>
          <w:sz w:val="21"/>
        </w:rPr>
        <w:t>.</w:t>
      </w:r>
      <w:r>
        <w:rPr>
          <w:color w:val="235C3A"/>
          <w:sz w:val="14"/>
          <w:vertAlign w:val="superscript"/>
        </w:rPr>
        <w:t>3</w:t>
      </w:r>
      <w:r>
        <w:rPr>
          <w:b w:val="0"/>
          <w:color w:val="16241C"/>
          <w:sz w:val="21"/>
        </w:rPr>
        <w:t xml:space="preserve"> And AI agents have only just made the coordination behind local sourcing cheap enough to give away as a done-for-you service. Work that used to require a salaried sourcing manager can now be run by software. This is the first moment both are true at once.</w:t>
      </w:r>
    </w:p>
    <w:p>
      <w:pPr>
        <w:spacing w:before="220" w:after="60"/>
      </w:pPr>
      <w:r>
        <w:rPr>
          <w:b/>
          <w:color w:val="235C3A"/>
          <w:sz w:val="24"/>
        </w:rPr>
        <w:t>Market</w:t>
      </w:r>
    </w:p>
    <w:p>
      <w:pPr>
        <w:jc w:val="both"/>
      </w:pPr>
      <w:r>
        <w:rPr>
          <w:b w:val="0"/>
          <w:color w:val="16241C"/>
          <w:sz w:val="21"/>
        </w:rPr>
        <w:t xml:space="preserve">U.S. restaurants did about </w:t>
      </w:r>
      <w:r>
        <w:rPr>
          <w:b/>
          <w:color w:val="16241C"/>
          <w:sz w:val="21"/>
        </w:rPr>
        <w:t>$1.1 trillion</w:t>
      </w:r>
      <w:r>
        <w:rPr>
          <w:b w:val="0"/>
          <w:color w:val="16241C"/>
          <w:sz w:val="21"/>
        </w:rPr>
        <w:t xml:space="preserve"> in sales across roughly </w:t>
      </w:r>
      <w:r>
        <w:rPr>
          <w:b/>
          <w:color w:val="16241C"/>
          <w:sz w:val="21"/>
        </w:rPr>
        <w:t>1 million</w:t>
      </w:r>
      <w:r>
        <w:rPr>
          <w:b w:val="0"/>
          <w:color w:val="16241C"/>
          <w:sz w:val="21"/>
        </w:rPr>
        <w:t xml:space="preserve"> locations in 2024.</w:t>
      </w:r>
      <w:r>
        <w:rPr>
          <w:color w:val="235C3A"/>
          <w:sz w:val="14"/>
          <w:vertAlign w:val="superscript"/>
        </w:rPr>
        <w:t>4</w:t>
      </w:r>
      <w:r>
        <w:rPr>
          <w:b w:val="0"/>
          <w:color w:val="16241C"/>
          <w:sz w:val="21"/>
        </w:rPr>
        <w:t xml:space="preserve"> Our wedge is the independent full-service segment — the operators who both want local sourcing and lack the staff to do it. We win one metro at a time and earn density before expanding.</w:t>
      </w:r>
    </w:p>
    <w:p>
      <w:pPr>
        <w:jc w:val="both"/>
      </w:pPr>
      <w:r>
        <w:rPr>
          <w:b w:val="0"/>
          <w:color w:val="16241C"/>
          <w:sz w:val="21"/>
        </w:rPr>
        <w:t xml:space="preserve">In the </w:t>
      </w:r>
      <w:r>
        <w:rPr>
          <w:b/>
          <w:color w:val="16241C"/>
          <w:sz w:val="21"/>
        </w:rPr>
        <w:t>Indianapolis metro</w:t>
      </w:r>
      <w:r>
        <w:rPr>
          <w:b w:val="0"/>
          <w:color w:val="16241C"/>
          <w:sz w:val="21"/>
        </w:rPr>
        <w:t xml:space="preserve"> there are roughly </w:t>
      </w:r>
      <w:r>
        <w:rPr>
          <w:b/>
          <w:color w:val="16241C"/>
          <w:sz w:val="21"/>
        </w:rPr>
        <w:t>4,500</w:t>
      </w:r>
      <w:r>
        <w:rPr>
          <w:b w:val="0"/>
          <w:color w:val="16241C"/>
          <w:sz w:val="21"/>
        </w:rPr>
        <w:t xml:space="preserve"> restaurants; we estimate about </w:t>
      </w:r>
      <w:r>
        <w:rPr>
          <w:b/>
          <w:color w:val="16241C"/>
          <w:sz w:val="21"/>
        </w:rPr>
        <w:t>1,500</w:t>
      </w:r>
      <w:r>
        <w:rPr>
          <w:b w:val="0"/>
          <w:color w:val="16241C"/>
          <w:sz w:val="21"/>
        </w:rPr>
        <w:t xml:space="preserve"> are target independents.</w:t>
      </w:r>
      <w:r>
        <w:rPr>
          <w:color w:val="235C3A"/>
          <w:sz w:val="14"/>
          <w:vertAlign w:val="superscript"/>
        </w:rPr>
        <w:t>5</w:t>
      </w:r>
      <w:r>
        <w:rPr>
          <w:b w:val="0"/>
          <w:color w:val="16241C"/>
          <w:sz w:val="21"/>
        </w:rPr>
        <w:t xml:space="preserve"> At a blended </w:t>
      </w:r>
      <w:r>
        <w:rPr>
          <w:b/>
          <w:color w:val="16241C"/>
          <w:sz w:val="21"/>
        </w:rPr>
        <w:t>$10,700</w:t>
      </w:r>
      <w:r>
        <w:rPr>
          <w:b w:val="0"/>
          <w:color w:val="16241C"/>
          <w:sz w:val="21"/>
        </w:rPr>
        <w:t xml:space="preserve"> per restaurant per year, that is about </w:t>
      </w:r>
      <w:r>
        <w:rPr>
          <w:b/>
          <w:color w:val="16241C"/>
          <w:sz w:val="21"/>
        </w:rPr>
        <w:t>$16 million</w:t>
      </w:r>
      <w:r>
        <w:rPr>
          <w:b w:val="0"/>
          <w:color w:val="16241C"/>
          <w:sz w:val="21"/>
        </w:rPr>
        <w:t xml:space="preserve"> of annual revenue available in Indianapolis alone, before a second market.</w:t>
      </w:r>
      <w:r>
        <w:rPr>
          <w:color w:val="235C3A"/>
          <w:sz w:val="14"/>
          <w:vertAlign w:val="superscript"/>
        </w:rPr>
        <w:t>5</w:t>
      </w:r>
    </w:p>
    <w:p>
      <w:pPr>
        <w:spacing w:before="220" w:after="60"/>
      </w:pPr>
      <w:r>
        <w:rPr>
          <w:b/>
          <w:color w:val="235C3A"/>
          <w:sz w:val="24"/>
        </w:rPr>
        <w:t>Precedent</w:t>
      </w:r>
    </w:p>
    <w:p>
      <w:pPr>
        <w:jc w:val="both"/>
      </w:pPr>
      <w:r>
        <w:rPr>
          <w:b w:val="0"/>
          <w:color w:val="16241C"/>
          <w:sz w:val="21"/>
        </w:rPr>
        <w:t>This is a graveyard, and the cause of death is consistent.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Webvan</w:t>
      </w:r>
      <w:r>
        <w:rPr>
          <w:b w:val="0"/>
          <w:color w:val="16241C"/>
          <w:sz w:val="21"/>
        </w:rPr>
        <w:t xml:space="preserve"> raised more than </w:t>
      </w:r>
      <w:r>
        <w:rPr>
          <w:b/>
          <w:color w:val="16241C"/>
          <w:sz w:val="21"/>
        </w:rPr>
        <w:t>$800 million</w:t>
      </w:r>
      <w:r>
        <w:rPr>
          <w:b w:val="0"/>
          <w:color w:val="16241C"/>
          <w:sz w:val="21"/>
        </w:rPr>
        <w:t xml:space="preserve"> to deliver fresh groceries, built its own warehouses and truck fleet, expanded city by city, and filed for bankruptcy in 2001.</w:t>
      </w:r>
      <w:r>
        <w:rPr>
          <w:color w:val="235C3A"/>
          <w:sz w:val="14"/>
          <w:vertAlign w:val="superscript"/>
        </w:rPr>
        <w:t>6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Good Eggs</w:t>
      </w:r>
      <w:r>
        <w:rPr>
          <w:b w:val="0"/>
          <w:color w:val="16241C"/>
          <w:sz w:val="21"/>
        </w:rPr>
        <w:t xml:space="preserve"> raised roughly </w:t>
      </w:r>
      <w:r>
        <w:rPr>
          <w:b/>
          <w:color w:val="16241C"/>
          <w:sz w:val="21"/>
        </w:rPr>
        <w:t>$50 million</w:t>
      </w:r>
      <w:r>
        <w:rPr>
          <w:b w:val="0"/>
          <w:color w:val="16241C"/>
          <w:sz w:val="21"/>
        </w:rPr>
        <w:t xml:space="preserve"> to deliver local food, scaled to four cities, and in 2015 laid off most of its staff and retreated to a single market.</w:t>
      </w:r>
      <w:r>
        <w:rPr>
          <w:color w:val="235C3A"/>
          <w:sz w:val="14"/>
          <w:vertAlign w:val="superscript"/>
        </w:rPr>
        <w:t>6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Farmigo</w:t>
      </w:r>
      <w:r>
        <w:rPr>
          <w:b w:val="0"/>
          <w:color w:val="16241C"/>
          <w:sz w:val="21"/>
        </w:rPr>
        <w:t xml:space="preserve"> (2016), </w:t>
      </w:r>
      <w:r>
        <w:rPr>
          <w:b/>
          <w:color w:val="16241C"/>
          <w:sz w:val="21"/>
        </w:rPr>
        <w:t>Door to Door Organics</w:t>
      </w:r>
      <w:r>
        <w:rPr>
          <w:b w:val="0"/>
          <w:color w:val="16241C"/>
          <w:sz w:val="21"/>
        </w:rPr>
        <w:t xml:space="preserve"> (2016), and </w:t>
      </w:r>
      <w:r>
        <w:rPr>
          <w:b/>
          <w:color w:val="16241C"/>
          <w:sz w:val="21"/>
        </w:rPr>
        <w:t>Relay Foods</w:t>
      </w:r>
      <w:r>
        <w:rPr>
          <w:b w:val="0"/>
          <w:color w:val="16241C"/>
          <w:sz w:val="21"/>
        </w:rPr>
        <w:t xml:space="preserve"> (2016) each tried to aggregate small farms and deliver the food themselves. Each shut the business down.</w:t>
      </w:r>
      <w:r>
        <w:rPr>
          <w:color w:val="235C3A"/>
          <w:sz w:val="14"/>
          <w:vertAlign w:val="superscript"/>
        </w:rPr>
        <w:t>6</w:t>
      </w:r>
    </w:p>
    <w:p>
      <w:pPr>
        <w:jc w:val="both"/>
      </w:pPr>
      <w:r>
        <w:rPr>
          <w:b w:val="0"/>
          <w:color w:val="16241C"/>
          <w:sz w:val="21"/>
        </w:rPr>
        <w:t xml:space="preserve">The reason was the same every time: </w:t>
      </w:r>
      <w:r>
        <w:rPr>
          <w:b/>
          <w:color w:val="16241C"/>
          <w:sz w:val="21"/>
        </w:rPr>
        <w:t>they owned the perishable inventory and the logistics.</w:t>
      </w:r>
      <w:r>
        <w:rPr>
          <w:b w:val="0"/>
          <w:color w:val="16241C"/>
          <w:sz w:val="21"/>
        </w:rPr>
        <w:t xml:space="preserve"> Warehouses, trucks, and spoilage are cash-intensive and low-margin, and the math gets worse as you add cities. They also sold to consumers, the most price-sensitive buyer, and they expanded geography before the unit economics worked. The large distributors (Sysco, US Foods) serve scale but not small local farms; for them, “local” is a checkbox, not the product.</w:t>
      </w:r>
    </w:p>
    <w:p>
      <w:pPr>
        <w:jc w:val="both"/>
      </w:pPr>
      <w:r>
        <w:rPr>
          <w:b w:val="0"/>
          <w:color w:val="16241C"/>
          <w:sz w:val="21"/>
        </w:rPr>
        <w:t xml:space="preserve">We are different on every count: we own </w:t>
      </w:r>
      <w:r>
        <w:rPr>
          <w:b/>
          <w:color w:val="16241C"/>
          <w:sz w:val="21"/>
        </w:rPr>
        <w:t>no warehouses, trucks, or inventory</w:t>
      </w:r>
      <w:r>
        <w:rPr>
          <w:b w:val="0"/>
          <w:color w:val="16241C"/>
          <w:sz w:val="21"/>
        </w:rPr>
        <w:t xml:space="preserve"> (the restaurant funds the food at the farm's price and delivery is third-party at cost); we sell to </w:t>
      </w:r>
      <w:r>
        <w:rPr>
          <w:b/>
          <w:color w:val="16241C"/>
          <w:sz w:val="21"/>
        </w:rPr>
        <w:t>restaurants on a recurring fee</w:t>
      </w:r>
      <w:r>
        <w:rPr>
          <w:b w:val="0"/>
          <w:color w:val="16241C"/>
          <w:sz w:val="21"/>
        </w:rPr>
        <w:t xml:space="preserve">, not to price-sensitive consumers; we earn </w:t>
      </w:r>
      <w:r>
        <w:rPr>
          <w:b/>
          <w:color w:val="16241C"/>
          <w:sz w:val="21"/>
        </w:rPr>
        <w:t>density in one metro</w:t>
      </w:r>
      <w:r>
        <w:rPr>
          <w:b w:val="0"/>
          <w:color w:val="16241C"/>
          <w:sz w:val="21"/>
        </w:rPr>
        <w:t xml:space="preserve"> before expanding; and the coordination that made this unprofitable by hand is now run by an </w:t>
      </w:r>
      <w:r>
        <w:rPr>
          <w:b/>
          <w:color w:val="16241C"/>
          <w:sz w:val="21"/>
        </w:rPr>
        <w:t>AI agent</w:t>
      </w:r>
      <w:r>
        <w:rPr>
          <w:b w:val="0"/>
          <w:color w:val="16241C"/>
          <w:sz w:val="21"/>
        </w:rPr>
        <w:t>.</w:t>
      </w:r>
    </w:p>
    <w:p>
      <w:pPr>
        <w:spacing w:before="220" w:after="60"/>
      </w:pPr>
      <w:r>
        <w:rPr>
          <w:b/>
          <w:color w:val="235C3A"/>
          <w:sz w:val="24"/>
        </w:rPr>
        <w:t>Business Model</w:t>
      </w:r>
    </w:p>
    <w:p>
      <w:pPr>
        <w:jc w:val="both"/>
      </w:pPr>
      <w:r>
        <w:rPr>
          <w:b w:val="0"/>
          <w:color w:val="16241C"/>
          <w:sz w:val="21"/>
        </w:rPr>
        <w:t>Three explicit parts: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Food:</w:t>
      </w:r>
      <w:r>
        <w:rPr>
          <w:b w:val="0"/>
          <w:color w:val="16241C"/>
          <w:sz w:val="21"/>
        </w:rPr>
        <w:t xml:space="preserve"> billed to the restaurant at the farm's price. We make </w:t>
      </w:r>
      <w:r>
        <w:rPr>
          <w:b/>
          <w:color w:val="16241C"/>
          <w:sz w:val="21"/>
        </w:rPr>
        <w:t>$0</w:t>
      </w:r>
      <w:r>
        <w:rPr>
          <w:b w:val="0"/>
          <w:color w:val="16241C"/>
          <w:sz w:val="21"/>
        </w:rPr>
        <w:t xml:space="preserve"> on the food itself.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Delivery:</w:t>
      </w:r>
      <w:r>
        <w:rPr>
          <w:b w:val="0"/>
          <w:color w:val="16241C"/>
          <w:sz w:val="21"/>
        </w:rPr>
        <w:t xml:space="preserve"> passed through at third-party cost. We make </w:t>
      </w:r>
      <w:r>
        <w:rPr>
          <w:b/>
          <w:color w:val="16241C"/>
          <w:sz w:val="21"/>
        </w:rPr>
        <w:t>$0</w:t>
      </w:r>
      <w:r>
        <w:rPr>
          <w:b w:val="0"/>
          <w:color w:val="16241C"/>
          <w:sz w:val="21"/>
        </w:rPr>
        <w:t xml:space="preserve"> on logistics.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Service fee:</w:t>
      </w:r>
      <w:r>
        <w:rPr>
          <w:b w:val="0"/>
          <w:color w:val="16241C"/>
          <w:sz w:val="21"/>
        </w:rPr>
        <w:t xml:space="preserve"> our only revenue. A </w:t>
      </w:r>
      <w:r>
        <w:rPr>
          <w:b/>
          <w:color w:val="16241C"/>
          <w:sz w:val="21"/>
        </w:rPr>
        <w:t>$299</w:t>
      </w:r>
      <w:r>
        <w:rPr>
          <w:b w:val="0"/>
          <w:color w:val="16241C"/>
          <w:sz w:val="21"/>
        </w:rPr>
        <w:t xml:space="preserve"> monthly base plus a per-item fee that scales with volume, blending to about </w:t>
      </w:r>
      <w:r>
        <w:rPr>
          <w:b/>
          <w:color w:val="16241C"/>
          <w:sz w:val="21"/>
        </w:rPr>
        <w:t>$896</w:t>
      </w:r>
      <w:r>
        <w:rPr>
          <w:b w:val="0"/>
          <w:color w:val="16241C"/>
          <w:sz w:val="21"/>
        </w:rPr>
        <w:t xml:space="preserve"> per restaurant per month (about </w:t>
      </w:r>
      <w:r>
        <w:rPr>
          <w:b/>
          <w:color w:val="16241C"/>
          <w:sz w:val="21"/>
        </w:rPr>
        <w:t>$10,700</w:t>
      </w:r>
      <w:r>
        <w:rPr>
          <w:b w:val="0"/>
          <w:color w:val="16241C"/>
          <w:sz w:val="21"/>
        </w:rPr>
        <w:t xml:space="preserve"> per year).</w:t>
      </w:r>
    </w:p>
    <w:p>
      <w:pPr>
        <w:jc w:val="both"/>
      </w:pPr>
      <w:r>
        <w:rPr>
          <w:b w:val="0"/>
          <w:color w:val="16241C"/>
          <w:sz w:val="21"/>
        </w:rPr>
        <w:t xml:space="preserve">Because our costs are software, agent compute, and a thin coordination layer, the service-fee gross margin runs about </w:t>
      </w:r>
      <w:r>
        <w:rPr>
          <w:b/>
          <w:color w:val="16241C"/>
          <w:sz w:val="21"/>
        </w:rPr>
        <w:t>80% at scale</w:t>
      </w:r>
      <w:r>
        <w:rPr>
          <w:b w:val="0"/>
          <w:color w:val="16241C"/>
          <w:sz w:val="21"/>
        </w:rPr>
        <w:t xml:space="preserve">. At ~$896 per month and ~80% margin, a customer contributes about </w:t>
      </w:r>
      <w:r>
        <w:rPr>
          <w:b/>
          <w:color w:val="16241C"/>
          <w:sz w:val="21"/>
        </w:rPr>
        <w:t>$717</w:t>
      </w:r>
      <w:r>
        <w:rPr>
          <w:b w:val="0"/>
          <w:color w:val="16241C"/>
          <w:sz w:val="21"/>
        </w:rPr>
        <w:t xml:space="preserve"> per month, so even a $1,000 acquisition cost pays back in under two months (illustrative).</w:t>
      </w:r>
    </w:p>
    <w:p>
      <w:pPr>
        <w:spacing w:before="220" w:after="60"/>
      </w:pPr>
      <w:r>
        <w:rPr>
          <w:b/>
          <w:color w:val="235C3A"/>
          <w:sz w:val="24"/>
        </w:rPr>
        <w:t>Moat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Two-sided density:</w:t>
      </w:r>
      <w:r>
        <w:rPr>
          <w:b w:val="0"/>
          <w:color w:val="16241C"/>
          <w:sz w:val="21"/>
        </w:rPr>
        <w:t xml:space="preserve"> once we vet and contract a city's farms, a new entrant must rebuild the whole local supply base. More restaurants pull more farm capacity; more farms mean better fill.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Proprietary data:</w:t>
      </w:r>
      <w:r>
        <w:rPr>
          <w:b w:val="0"/>
          <w:color w:val="16241C"/>
          <w:sz w:val="21"/>
        </w:rPr>
        <w:t xml:space="preserve"> every contract, delivery, and price trains the agent on local supply, reliability, and demand, so our matching and forecasting beat any generic tool.</w:t>
      </w:r>
    </w:p>
    <w:p>
      <w:pPr>
        <w:pStyle w:val="ListBullet"/>
        <w:spacing w:after="60"/>
      </w:pPr>
      <w:r>
        <w:rPr>
          <w:b/>
          <w:color w:val="16241C"/>
          <w:sz w:val="21"/>
        </w:rPr>
        <w:t>Switching costs:</w:t>
      </w:r>
      <w:r>
        <w:rPr>
          <w:b w:val="0"/>
          <w:color w:val="16241C"/>
          <w:sz w:val="21"/>
        </w:rPr>
        <w:t xml:space="preserve"> once we run a kitchen's sourcing, contracts, deliveries, and margins, replacing us means rebuilding their supply chain by hand.</w:t>
      </w:r>
    </w:p>
    <w:p>
      <w:pPr>
        <w:spacing w:before="220" w:after="60"/>
      </w:pPr>
      <w:r>
        <w:rPr>
          <w:b/>
          <w:color w:val="235C3A"/>
          <w:sz w:val="24"/>
        </w:rPr>
        <w:t>Ask</w:t>
      </w:r>
    </w:p>
    <w:p>
      <w:pPr>
        <w:jc w:val="both"/>
      </w:pPr>
      <w:r>
        <w:rPr>
          <w:b w:val="0"/>
          <w:color w:val="16241C"/>
          <w:sz w:val="21"/>
        </w:rPr>
        <w:t xml:space="preserve">The product is built and live; we are </w:t>
      </w:r>
      <w:r>
        <w:rPr>
          <w:b/>
          <w:color w:val="16241C"/>
          <w:sz w:val="21"/>
        </w:rPr>
        <w:t>pre-revenue</w:t>
      </w:r>
      <w:r>
        <w:rPr>
          <w:b w:val="0"/>
          <w:color w:val="16241C"/>
          <w:sz w:val="21"/>
        </w:rPr>
        <w:t xml:space="preserve">. We are raising </w:t>
      </w:r>
      <w:r>
        <w:rPr>
          <w:b/>
          <w:color w:val="16241C"/>
          <w:sz w:val="21"/>
        </w:rPr>
        <w:t>$50,000–$100,000</w:t>
      </w:r>
      <w:r>
        <w:rPr>
          <w:b w:val="0"/>
          <w:color w:val="16241C"/>
          <w:sz w:val="21"/>
        </w:rPr>
        <w:t xml:space="preserve"> on a post-money SAFE (</w:t>
      </w:r>
      <w:r>
        <w:rPr>
          <w:b/>
          <w:color w:val="16241C"/>
          <w:sz w:val="21"/>
        </w:rPr>
        <w:t>$4M</w:t>
      </w:r>
      <w:r>
        <w:rPr>
          <w:b w:val="0"/>
          <w:color w:val="16241C"/>
          <w:sz w:val="21"/>
        </w:rPr>
        <w:t xml:space="preserve"> cap, </w:t>
      </w:r>
      <w:r>
        <w:rPr>
          <w:b/>
          <w:color w:val="16241C"/>
          <w:sz w:val="21"/>
        </w:rPr>
        <w:t>20%</w:t>
      </w:r>
      <w:r>
        <w:rPr>
          <w:b w:val="0"/>
          <w:color w:val="16241C"/>
          <w:sz w:val="21"/>
        </w:rPr>
        <w:t xml:space="preserve"> discount, MFN). About </w:t>
      </w:r>
      <w:r>
        <w:rPr>
          <w:b/>
          <w:color w:val="16241C"/>
          <w:sz w:val="21"/>
        </w:rPr>
        <w:t>80%</w:t>
      </w:r>
      <w:r>
        <w:rPr>
          <w:b w:val="0"/>
          <w:color w:val="16241C"/>
          <w:sz w:val="21"/>
        </w:rPr>
        <w:t xml:space="preserve"> of the round goes to sales. It funds one milestone: </w:t>
      </w:r>
      <w:r>
        <w:rPr>
          <w:b/>
          <w:color w:val="16241C"/>
          <w:sz w:val="21"/>
        </w:rPr>
        <w:t>15 paying kitchens and about $13,000 in monthly recurring revenue in Indianapolis within 90 days</w:t>
      </w:r>
      <w:r>
        <w:rPr>
          <w:b w:val="0"/>
          <w:color w:val="16241C"/>
          <w:sz w:val="21"/>
        </w:rPr>
        <w:t xml:space="preserve"> — the proof point to raise a priced seed.</w:t>
      </w:r>
    </w:p>
    <w:p>
      <w:pPr>
        <w:spacing w:before="280"/>
      </w:pPr>
      <w:r>
        <w:rPr>
          <w:b w:val="0"/>
          <w:color w:val="5B6B60"/>
          <w:sz w:val="17"/>
        </w:rPr>
        <w:t>Sources.  1 — Restaurant net-margin and prime-cost benchmarks: National Restaurant Association; Restaurant365 industry benchmarks.  2 — National Restaurant Association, 2022 State of the Restaurant Industry.  3 — FMI, transparency and foodservice trends, 2023.  4 — National Restaurant Association, 2024 industry forecast.  5 — Indianapolis restaurant counts and revenue opportunity are internal estimates.  6 — Company outcomes are publicly reported: Webvan (bankruptcy, 2001); Good Eggs (layoffs and market exit, 2015); Farmigo, Door to Door Organics, and Relay Foods (ceased food operations, 2016).</w:t>
      </w:r>
    </w:p>
    <w:p>
      <w:pPr>
        <w:spacing w:before="280"/>
      </w:pPr>
      <w:r>
        <w:rPr>
          <w:b w:val="0"/>
          <w:color w:val="5B6B60"/>
          <w:sz w:val="17"/>
        </w:rPr>
        <w:t>Keshav Krishnan · keshavkrishnanbusiness@gmail.com · Confidential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6241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