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80"/>
      </w:pPr>
      <w:r>
        <w:rPr>
          <w:b w:val="0"/>
          <w:color w:val="5B6B60"/>
          <w:sz w:val="17"/>
        </w:rPr>
        <w:t>Sources.  1. Restaurant net-margin and prime-cost benchmarks: National Restaurant Association; Restaurant365.  2. National Restaurant Association, 2022 State of the Restaurant Industry.  3. FMI, transparency and foodservice trends, 2023.  4. National Restaurant Association, 2024 industry forecast.  5. U.S. and Indianapolis target-segment counts and the revenue estimates derived from them are internal estimates.</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80"/>
      </w:pPr>
      <w:r>
        <w:rPr>
          <w:b w:val="0"/>
          <w:color w:val="5B6B60"/>
          <w:sz w:val="17"/>
        </w:rPr>
        <w:t>Source.  6. Valuations are peak reported figures from press and PitchBook: Misfits Market (about $2B, 2021) and Choco (about $1.2B, 2022); Afresh has raised about $148M.</w:t>
      </w:r>
    </w:p>
    <w:p>
      <w:pPr>
        <w:spacing w:before="220" w:after="60"/>
      </w:pPr>
      <w:r>
        <w:rPr>
          <w:b/>
          <w:color w:val="235C3A"/>
          <w:sz w:val="24"/>
        </w:rPr>
        <w:t>Team</w:t>
      </w:r>
    </w:p>
    <w:p>
      <w:pPr>
        <w:spacing w:after="80"/>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keshav.jpg"/>
                    <pic:cNvPicPr/>
                  </pic:nvPicPr>
                  <pic:blipFill>
                    <a:blip r:embed="rId9"/>
                    <a:stretch>
                      <a:fillRect/>
                    </a:stretch>
                  </pic:blipFill>
                  <pic:spPr>
                    <a:xfrm>
                      <a:off x="0" y="0"/>
                      <a:ext cx="1143000" cy="762000"/>
                    </a:xfrm>
                    <a:prstGeom prst="rect"/>
                  </pic:spPr>
                </pic:pic>
              </a:graphicData>
            </a:graphic>
          </wp:inline>
        </w:drawing>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Indianapolis Fruit, Piazza Produce, or What Chefs Want) and </w:t>
      </w:r>
      <w:r>
        <w:rPr>
          <w:b/>
          <w:color w:val="16241C"/>
          <w:sz w:val="21"/>
        </w:rPr>
        <w:t>food-hub or farm-cooperative managers</w:t>
      </w:r>
      <w:r>
        <w:rPr>
          <w:b w:val="0"/>
          <w:color w:val="16241C"/>
          <w:sz w:val="21"/>
        </w:rPr>
        <w:t xml:space="preserve"> (for example Hoosier Harvest Market or the Farmers Cooperative Food Hub), who already carry a book of restaurant accounts and know the local growers. A modest base plus meaningful equity is attractive to a strong rep ready to trade a commission grind for ownership.</w:t>
      </w:r>
    </w:p>
    <w:p>
      <w:pPr>
        <w:spacing w:after="80"/>
      </w:pPr>
      <w:r>
        <w:rPr>
          <w:b w:val="0"/>
          <w:color w:val="5B6B60"/>
          <w:sz w:val="19"/>
        </w:rPr>
        <w:t>To complete before sending: one concrete figure from your climate-migration research, and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w:t>
      </w:r>
      <w:r>
        <w:rPr>
          <w:b w:val="0"/>
          <w:color w:val="16241C"/>
          <w:sz w:val="21"/>
        </w:rPr>
        <w:t>, the proof point to raise a priced seed.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