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Gross margin:</w:t>
      </w:r>
      <w:r>
        <w:rPr>
          <w:b w:val="0"/>
          <w:color w:val="16241C"/>
          <w:sz w:val="21"/>
        </w:rPr>
        <w:t xml:space="preserve"> about 80%, or roughly </w:t>
      </w:r>
      <w:r>
        <w:rPr>
          <w:b/>
          <w:color w:val="16241C"/>
          <w:sz w:val="21"/>
        </w:rPr>
        <w:t>$717/month</w:t>
      </w:r>
      <w:r>
        <w:rPr>
          <w:b w:val="0"/>
          <w:color w:val="16241C"/>
          <w:sz w:val="21"/>
        </w:rPr>
        <w:t xml:space="preserve"> of gross profit per restaurant.</w:t>
      </w:r>
    </w:p>
    <w:p>
      <w:pPr>
        <w:pStyle w:val="ListBullet"/>
        <w:spacing w:after="60"/>
      </w:pPr>
      <w:r>
        <w:rPr>
          <w:b/>
          <w:color w:val="16241C"/>
          <w:sz w:val="21"/>
        </w:rPr>
        <w:t>CAC: about $850 per restaurant.</w:t>
      </w:r>
      <w:r>
        <w:rPr>
          <w:b w:val="0"/>
          <w:color w:val="16241C"/>
          <w:sz w:val="21"/>
        </w:rPr>
        <w:t xml:space="preserve"> Sales commission about $400, the first ingredient serviced free (about $300 in foregone fee), and onboarding plus tasting samples about $150.</w:t>
      </w:r>
    </w:p>
    <w:p>
      <w:pPr>
        <w:pStyle w:val="ListBullet"/>
        <w:spacing w:after="60"/>
      </w:pPr>
      <w:r>
        <w:rPr>
          <w:b/>
          <w:color w:val="16241C"/>
          <w:sz w:val="21"/>
        </w:rPr>
        <w:t>Payback:</w:t>
      </w:r>
      <w:r>
        <w:rPr>
          <w:b w:val="0"/>
          <w:color w:val="16241C"/>
          <w:sz w:val="21"/>
        </w:rPr>
        <w:t xml:space="preserve"> about </w:t>
      </w:r>
      <w:r>
        <w:rPr>
          <w:b/>
          <w:color w:val="16241C"/>
          <w:sz w:val="21"/>
        </w:rPr>
        <w:t>one to two months</w:t>
      </w:r>
      <w:r>
        <w:rPr>
          <w:b w:val="0"/>
          <w:color w:val="16241C"/>
          <w:sz w:val="21"/>
        </w:rPr>
        <w:t xml:space="preserve">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has three steps:</w:t>
      </w:r>
    </w:p>
    <w:p>
      <w:pPr>
        <w:pStyle w:val="ListNumber"/>
        <w:spacing w:after="80"/>
      </w:pPr>
      <w:r>
        <w:rPr>
          <w:b/>
          <w:color w:val="16241C"/>
          <w:sz w:val="21"/>
        </w:rPr>
        <w:t>Onboard the farms first.</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Onboard restaurants with the audit.</w:t>
      </w:r>
      <w:r>
        <w:rPr>
          <w:b w:val="0"/>
          <w:color w:val="16241C"/>
          <w:sz w:val="21"/>
        </w:rPr>
        <w:t xml:space="preserve"> For each target we run the free audit on their public menu and bring a specific, quantified estimate of the margin they are leaving behind. The offer removes their risk: first ingredient free, ten-minute setup, cancel any month, with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Early sales are led by a </w:t>
      </w:r>
      <w:r>
        <w:rPr>
          <w:b/>
          <w:color w:val="16241C"/>
          <w:sz w:val="21"/>
        </w:rPr>
        <w:t>part-time industry insider</w:t>
      </w:r>
      <w:r>
        <w:rPr>
          <w:b w:val="0"/>
          <w:color w:val="16241C"/>
          <w:sz w:val="21"/>
        </w:rPr>
        <w:t xml:space="preserve"> with existing restaurant relationships in the market.</w:t>
      </w:r>
    </w:p>
    <w:p>
      <w:pPr>
        <w:spacing w:after="80"/>
      </w:pPr>
      <w:r>
        <w:rPr>
          <w:b w:val="0"/>
          <w:color w:val="5B6B60"/>
          <w:sz w:val="19"/>
        </w:rPr>
        <w:t>To complete before sending: the insider's name and relationships,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