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we earn a </w:t>
      </w:r>
      <w:r>
        <w:rPr>
          <w:b/>
          <w:color w:val="16241C"/>
          <w:sz w:val="21"/>
        </w:rPr>
        <w:t>software margin on a monthly service fee</w:t>
      </w:r>
      <w:r>
        <w:rPr>
          <w:b w:val="0"/>
          <w:color w:val="16241C"/>
          <w:sz w:val="21"/>
        </w:rPr>
        <w:t xml:space="preserve">, not a distribution margin.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xml:space="preserve">: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w:t>
      </w:r>
      <w:r>
        <w:rPr>
          <w:b/>
          <w:color w:val="16241C"/>
          <w:sz w:val="21"/>
        </w:rPr>
        <w:t>This is real automation, not a manual service dressed as software.</w:t>
      </w:r>
      <w:r>
        <w:rPr>
          <w:b w:val="0"/>
          <w:color w:val="16241C"/>
          <w:sz w:val="21"/>
        </w:rPr>
        <w:t xml:space="preserve"> The founder built it as a working product, live today, including a free instant audit any restaurant can run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Gross margin:</w:t>
      </w:r>
      <w:r>
        <w:rPr>
          <w:b w:val="0"/>
          <w:color w:val="16241C"/>
          <w:sz w:val="21"/>
        </w:rPr>
        <w:t xml:space="preserve"> about 80%, or roughly </w:t>
      </w:r>
      <w:r>
        <w:rPr>
          <w:b/>
          <w:color w:val="16241C"/>
          <w:sz w:val="21"/>
        </w:rPr>
        <w:t>$717/month</w:t>
      </w:r>
      <w:r>
        <w:rPr>
          <w:b w:val="0"/>
          <w:color w:val="16241C"/>
          <w:sz w:val="21"/>
        </w:rPr>
        <w:t xml:space="preserve"> of gross profit per restaurant.</w:t>
      </w:r>
    </w:p>
    <w:p>
      <w:pPr>
        <w:pStyle w:val="ListBullet"/>
        <w:spacing w:after="60"/>
      </w:pPr>
      <w:r>
        <w:rPr>
          <w:b/>
          <w:color w:val="16241C"/>
          <w:sz w:val="21"/>
        </w:rPr>
        <w:t>CAC: about $850 per restaurant.</w:t>
      </w:r>
      <w:r>
        <w:rPr>
          <w:b w:val="0"/>
          <w:color w:val="16241C"/>
          <w:sz w:val="21"/>
        </w:rPr>
        <w:t xml:space="preserve"> Sales commission about $400, the first ingredient serviced free (about $300 in foregone fee), and onboarding plus tasting samples about $150.</w:t>
      </w:r>
    </w:p>
    <w:p>
      <w:pPr>
        <w:pStyle w:val="ListBullet"/>
        <w:spacing w:after="60"/>
      </w:pPr>
      <w:r>
        <w:rPr>
          <w:b/>
          <w:color w:val="16241C"/>
          <w:sz w:val="21"/>
        </w:rPr>
        <w:t>Payback:</w:t>
      </w:r>
      <w:r>
        <w:rPr>
          <w:b w:val="0"/>
          <w:color w:val="16241C"/>
          <w:sz w:val="21"/>
        </w:rPr>
        <w:t xml:space="preserve"> about </w:t>
      </w:r>
      <w:r>
        <w:rPr>
          <w:b/>
          <w:color w:val="16241C"/>
          <w:sz w:val="21"/>
        </w:rPr>
        <w:t>one to two months</w:t>
      </w:r>
      <w:r>
        <w:rPr>
          <w:b w:val="0"/>
          <w:color w:val="16241C"/>
          <w:sz w:val="21"/>
        </w:rPr>
        <w:t xml:space="preserve">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has three steps:</w:t>
      </w:r>
    </w:p>
    <w:p>
      <w:pPr>
        <w:pStyle w:val="ListNumber"/>
        <w:spacing w:after="80"/>
      </w:pPr>
      <w:r>
        <w:rPr>
          <w:b/>
          <w:color w:val="16241C"/>
          <w:sz w:val="21"/>
        </w:rPr>
        <w:t>Onboard the farms first.</w:t>
      </w:r>
      <w:r>
        <w:rPr>
          <w:b w:val="0"/>
          <w:color w:val="16241C"/>
          <w:sz w:val="21"/>
        </w:rPr>
        <w:t xml:space="preserve"> Pre-sign 8 to 12 vetted local farms across the core crops so supply and fill are guaranteed before we sell a single restaurant. This removes the cold-start problem.</w:t>
      </w:r>
    </w:p>
    <w:p>
      <w:pPr>
        <w:pStyle w:val="ListNumber"/>
        <w:spacing w:after="80"/>
      </w:pPr>
      <w:r>
        <w:rPr>
          <w:b/>
          <w:color w:val="16241C"/>
          <w:sz w:val="21"/>
        </w:rPr>
        <w:t>Onboard restaurants with the audit.</w:t>
      </w:r>
      <w:r>
        <w:rPr>
          <w:b w:val="0"/>
          <w:color w:val="16241C"/>
          <w:sz w:val="21"/>
        </w:rPr>
        <w:t xml:space="preserve"> For each target we run the free audit on their public menu and bring a specific, quantified estimate of the margin they are leaving behind. The offer removes their risk: first ingredient free, ten-minute setup, cancel any month, with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 them does what we do.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20" w:after="60"/>
      </w:pPr>
      <w:r>
        <w:rPr>
          <w:b/>
          <w:color w:val="235C3A"/>
          <w:sz w:val="24"/>
        </w:rPr>
        <w:t>Team</w:t>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Early sales are led by a </w:t>
      </w:r>
      <w:r>
        <w:rPr>
          <w:b/>
          <w:color w:val="16241C"/>
          <w:sz w:val="21"/>
        </w:rPr>
        <w:t>part-time industry insider</w:t>
      </w:r>
      <w:r>
        <w:rPr>
          <w:b w:val="0"/>
          <w:color w:val="16241C"/>
          <w:sz w:val="21"/>
        </w:rPr>
        <w:t xml:space="preserve"> with existing restaurant relationships in the market.</w:t>
      </w:r>
    </w:p>
    <w:p>
      <w:pPr>
        <w:spacing w:after="80"/>
      </w:pPr>
      <w:r>
        <w:rPr>
          <w:b w:val="0"/>
          <w:color w:val="5B6B60"/>
          <w:sz w:val="19"/>
        </w:rPr>
        <w:t>To complete before sending: the insider's name and relationships, and one concrete figure from your climate-migration research.</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 within 90 days</w:t>
      </w:r>
      <w:r>
        <w:rPr>
          <w:b w:val="0"/>
          <w:color w:val="16241C"/>
          <w:sz w:val="21"/>
        </w:rPr>
        <w:t>, the proof point to raise a priced seed.</w:t>
      </w:r>
    </w:p>
    <w:p>
      <w:pPr>
        <w:spacing w:before="280"/>
      </w:pPr>
      <w:r>
        <w:rPr>
          <w:b w:val="0"/>
          <w:color w:val="5B6B60"/>
          <w:sz w:val="17"/>
        </w:rPr>
        <w:t>Sources.  1. Restaurant net-margin and prime-cost benchmarks: National Restaurant Association; Restaurant365 industry benchmarks.  2. National Restaurant Association, 2022 State of the Restaurant Industry.  3. FMI, transparency and foodservice trends, 2023.  4. National Restaurant Association, 2024 industry forecast.  5. U.S. and Indianapolis target-segment restaurant counts and the revenue estimates derived from them are internal estimates.  6. Valuations are peak reported figures from press and PitchBook: Misfits Market (about $2B, 2021) and Choco (about $1.2B, 2022); Afresh has raised about $148M.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