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8C"/>
          <w:sz w:val="40"/>
        </w:rPr>
        <w:t>A1 Week 2 Plan</w:t>
      </w:r>
    </w:p>
    <w:p>
      <w:pPr>
        <w:jc w:val="center"/>
      </w:pPr>
      <w:r>
        <w:rPr>
          <w:i/>
          <w:sz w:val="21"/>
        </w:rPr>
        <w:t>General Carbon/Contracting Theory &amp; Numerical Methods — closing the gap to a Management Science submission</w:t>
      </w:r>
    </w:p>
    <w:p>
      <w:r>
        <w:rPr>
          <w:b/>
        </w:rPr>
        <w:t xml:space="preserve">Status. </w:t>
      </w:r>
      <w:r>
        <w:t>Week 1 delivered the spine: the capacity-substitution channel K*R &gt; K°R, the exact net-carbon inequality (C), the distribution-free cutoffs, the closed-form thresholds (the FCL adoption threshold and the renewable-cost bounds, with the small-FCL widening), a 15/15 machine-precision audit, a 3-referee honesty pass, and a green four-role integration. An adversarial Management Science review puts us at ≈70–75% of the rigor bar. The gap is one keystone — a general-distribution, finite-optimum carbon theorem — plus robustness, a clean numerical narrative, and theory positioning.</w:t>
      </w:r>
    </w:p>
    <w:p>
      <w:r>
        <w:rPr>
          <w:b/>
        </w:rPr>
        <w:t xml:space="preserve">Scope (hard wall — A1 only). </w:t>
      </w:r>
      <w:r>
        <w:t>Every task below is general theory or numerical-method work on the FCL carbon model. Out of scope: real-data calibration/magnitudes (A2); reliability, welfare, social-vs-private optimum (B1); flexibility continuum, AI, storage, multi-grid, dynamics (B2). Roles stay in their own lane.</w:t>
      </w:r>
    </w:p>
    <w:p>
      <w:pPr>
        <w:spacing w:before="160"/>
      </w:pPr>
      <w:r>
        <w:rPr>
          <w:b/>
          <w:color w:val="1F4E8C"/>
          <w:sz w:val="26"/>
        </w:rPr>
        <w:t>Role 1 — General Carbon Theory  (lead; carries the heaviest load)</w:t>
      </w:r>
    </w:p>
    <w:p>
      <w:r>
        <w:rPr>
          <w:b/>
          <w:i/>
        </w:rPr>
        <w:t xml:space="preserve">Mandate. </w:t>
      </w:r>
      <w:r>
        <w:t>Turn the headline from “conditional for general F” into a proved, finite-optimum, general-distribution theorem — the paper’s title depends on it.</w:t>
      </w:r>
    </w:p>
    <w:p>
      <w:pPr>
        <w:pStyle w:val="ListBullet"/>
      </w:pPr>
      <w:r>
        <w:rPr>
          <w:b/>
        </w:rPr>
        <w:t xml:space="preserve">Existence &amp; uniqueness. </w:t>
      </w:r>
      <w:r>
        <w:t>Prove coercivity of profit Π and a primitive condition on F (e.g. log-concave density) under which any interior critical point is the unique global maximizer.</w:t>
      </w:r>
    </w:p>
    <w:p>
      <w:pPr>
        <w:pStyle w:val="ListBullet"/>
      </w:pPr>
      <w:r>
        <w:rPr>
          <w:b/>
        </w:rPr>
        <w:t xml:space="preserve">Primitive shift-ratio condition. </w:t>
      </w:r>
      <w:r>
        <w:t>Replace the endogenous-window “g(x)=F_{K_R}/f non-increasing” with a support-wide condition on F that implies it, and prove the implication.</w:t>
      </w:r>
    </w:p>
    <w:p>
      <w:pPr>
        <w:pStyle w:val="ListBullet"/>
      </w:pPr>
      <w:r>
        <w:rPr>
          <w:b/>
        </w:rPr>
        <w:t xml:space="preserve">General-F non-emptiness (keystone). </w:t>
      </w:r>
      <w:r>
        <w:t>Under that primitive plus a tail/skew condition, prove carbon falls somewhere in C_R for any such F — upgrading the current conjecture to a theorem.</w:t>
      </w:r>
    </w:p>
    <w:p>
      <w:pPr>
        <w:pStyle w:val="ListBullet"/>
      </w:pPr>
      <w:r>
        <w:rPr>
          <w:b/>
        </w:rPr>
        <w:t xml:space="preserve">Finite-optimum carbon win. </w:t>
      </w:r>
      <w:r>
        <w:t>Give a primitive condition under which carbon strictly falls at a finite, interior K*R (not the K*R=∞ corner).</w:t>
      </w:r>
    </w:p>
    <w:p>
      <w:pPr>
        <w:pStyle w:val="ListBullet"/>
      </w:pPr>
      <w:r>
        <w:rPr>
          <w:b/>
        </w:rPr>
        <w:t xml:space="preserve">Main theorem + re-scope. </w:t>
      </w:r>
      <w:r>
        <w:t>State the headline theorem, align the abstract/title to exactly what is proved, and write the economic intuition at journal quality.</w:t>
      </w:r>
    </w:p>
    <w:p>
      <w:pPr>
        <w:spacing w:before="160"/>
      </w:pPr>
      <w:r>
        <w:rPr>
          <w:b/>
          <w:color w:val="1F4E8C"/>
          <w:sz w:val="26"/>
        </w:rPr>
        <w:t>Role 2 — Solver &amp; Numerical Methods</w:t>
      </w:r>
    </w:p>
    <w:p>
      <w:r>
        <w:rPr>
          <w:b/>
          <w:i/>
        </w:rPr>
        <w:t xml:space="preserve">Mandate. </w:t>
      </w:r>
      <w:r>
        <w:t>One coherent, reproducible numerical backbone demonstrating the theory at a finite interior optimum.</w:t>
      </w:r>
    </w:p>
    <w:p>
      <w:pPr>
        <w:pStyle w:val="ListBullet"/>
      </w:pPr>
      <w:r>
        <w:rPr>
          <w:b/>
        </w:rPr>
        <w:t xml:space="preserve">One carbon-sign narrative. </w:t>
      </w:r>
      <w:r>
        <w:t>Replace the scattered “2/32” counts with a principled sweep over Role 1’s primitive condition on a curated family, showing carbon falls at a finite interior optimum.</w:t>
      </w:r>
    </w:p>
    <w:p>
      <w:pPr>
        <w:pStyle w:val="ListBullet"/>
      </w:pPr>
      <w:r>
        <w:rPr>
          <w:b/>
        </w:rPr>
        <w:t xml:space="preserve">Hessian certificate. </w:t>
      </w:r>
      <w:r>
        <w:t>A reproducible check that the Hessian H is negative definite on the interior path for Role 1’s distribution class (backstops existence).</w:t>
      </w:r>
    </w:p>
    <w:p>
      <w:pPr>
        <w:pStyle w:val="ListBullet"/>
      </w:pPr>
      <w:r>
        <w:rPr>
          <w:b/>
        </w:rPr>
        <w:t xml:space="preserve">Analytic-cofactor solver. </w:t>
      </w:r>
      <w:r>
        <w:t>Replace finite-difference cofactors with analytic ones (removes the noisy knife-edge points); document tolerances.</w:t>
      </w:r>
    </w:p>
    <w:p>
      <w:pPr>
        <w:pStyle w:val="ListBullet"/>
      </w:pPr>
      <w:r>
        <w:rPr>
          <w:b/>
        </w:rPr>
        <w:t xml:space="preserve">One-command reproducibility. </w:t>
      </w:r>
      <w:r>
        <w:t>A single reproduce harness covering the 15 exact-formula checks plus the carbon sweep.</w:t>
      </w:r>
    </w:p>
    <w:p>
      <w:pPr>
        <w:spacing w:before="160"/>
      </w:pPr>
      <w:r>
        <w:rPr>
          <w:b/>
          <w:color w:val="1F4E8C"/>
          <w:sz w:val="26"/>
        </w:rPr>
        <w:t>Role 3 — Comparative Statics &amp; Robustness</w:t>
      </w:r>
    </w:p>
    <w:p>
      <w:r>
        <w:rPr>
          <w:b/>
          <w:i/>
        </w:rPr>
        <w:t xml:space="preserve">Mandate. </w:t>
      </w:r>
      <w:r>
        <w:t>Close the cross-distribution robustness layer Week 1 left at “fixed capacities,” and deliver the sharpness example.</w:t>
      </w:r>
    </w:p>
    <w:p>
      <w:pPr>
        <w:pStyle w:val="ListBullet"/>
      </w:pPr>
      <w:r>
        <w:rPr>
          <w:b/>
        </w:rPr>
        <w:t xml:space="preserve">Cross-F least-favorable. </w:t>
      </w:r>
      <w:r>
        <w:t>Sign the capacity covariation dK*/dF along the shape class U, turning the fixed-capacity result into a genuine least-favorable-distribution theorem.</w:t>
      </w:r>
    </w:p>
    <w:p>
      <w:pPr>
        <w:pStyle w:val="ListBullet"/>
      </w:pPr>
      <w:r>
        <w:rPr>
          <w:b/>
        </w:rPr>
        <w:t xml:space="preserve">Robust certificate. </w:t>
      </w:r>
      <w:r>
        <w:t>Make C_R ≤ C†R ⇒ Δ ≥ 0 hold for every F ∈ U, or prove the obstruction cleanly.</w:t>
      </w:r>
    </w:p>
    <w:p>
      <w:pPr>
        <w:pStyle w:val="ListBullet"/>
      </w:pPr>
      <w:r>
        <w:rPr>
          <w:b/>
        </w:rPr>
        <w:t xml:space="preserve">Reversed-channel counterexample. </w:t>
      </w:r>
      <w:r>
        <w:t>Construct a realized F with g increasing ⇒ K*R &lt; K°R — the sharpness example Week 1 could not produce.</w:t>
      </w:r>
    </w:p>
    <w:p>
      <w:pPr>
        <w:pStyle w:val="ListBullet"/>
      </w:pPr>
      <w:r>
        <w:rPr>
          <w:b/>
        </w:rPr>
        <w:t xml:space="preserve">Repair the limit. </w:t>
      </w:r>
      <w:r>
        <w:t>Replace the E[fossil*] → 0 a.s.-corner step with a dominated-convergence / finite-K_R argument.</w:t>
      </w:r>
    </w:p>
    <w:p>
      <w:pPr>
        <w:spacing w:before="160"/>
      </w:pPr>
      <w:r>
        <w:rPr>
          <w:b/>
          <w:color w:val="1F4E8C"/>
          <w:sz w:val="26"/>
        </w:rPr>
        <w:t>Role 4 — Theory Hardening, Regimes &amp; Positioning</w:t>
      </w:r>
    </w:p>
    <w:p>
      <w:r>
        <w:rPr>
          <w:b/>
          <w:i/>
        </w:rPr>
        <w:t xml:space="preserve">Mandate. </w:t>
      </w:r>
      <w:r>
        <w:t>Make the four pieces one manuscript a referee reads as a single, consistent paper.</w:t>
      </w:r>
    </w:p>
    <w:p>
      <w:pPr>
        <w:pStyle w:val="ListBullet"/>
      </w:pPr>
      <w:r>
        <w:rPr>
          <w:b/>
        </w:rPr>
        <w:t xml:space="preserve">Unify the manuscript. </w:t>
      </w:r>
      <w:r>
        <w:t>One Assumption 1 (R &gt; c + C_M) and one carbon decomposition (Role 1’s two-force split) everywhere; one notation table.</w:t>
      </w:r>
    </w:p>
    <w:p>
      <w:pPr>
        <w:pStyle w:val="ListBullet"/>
      </w:pPr>
      <w:r>
        <w:rPr>
          <w:b/>
        </w:rPr>
        <w:t xml:space="preserve">Complete the regime map. </w:t>
      </w:r>
      <w:r>
        <w:t>Fold Role 1’s finite-optimum statement into the small-FCL / interior / full-coverage map plus the C_R boundedness axis, as one consistent theorem.</w:t>
      </w:r>
    </w:p>
    <w:p>
      <w:pPr>
        <w:pStyle w:val="ListBullet"/>
      </w:pPr>
      <w:r>
        <w:rPr>
          <w:b/>
        </w:rPr>
        <w:t xml:space="preserve">Theory positioning. </w:t>
      </w:r>
      <w:r>
        <w:t>Write the related-work section and bibliography on the methods A1 uses — monotone comparative statics (Topkis/Milgrom–Shannon), interruptible/demand-response economics, and distributionally-robust / least-favorable-distribution analysis.</w:t>
      </w:r>
    </w:p>
    <w:p>
      <w:pPr>
        <w:pStyle w:val="ListBullet"/>
      </w:pPr>
      <w:r>
        <w:rPr>
          <w:b/>
        </w:rPr>
        <w:t xml:space="preserve">Assemble &amp; edit. </w:t>
      </w:r>
      <w:r>
        <w:t>Move all “verified to 10^−k” out of proof bodies into the numerical section; align every claim with its theorem.</w:t>
      </w:r>
    </w:p>
    <w:p>
      <w:r>
        <w:rPr>
          <w:b/>
        </w:rPr>
        <w:t xml:space="preserve">Sequencing. </w:t>
      </w:r>
      <w:r>
        <w:t>All four start now and share only notation + the Week-1 closed forms. Role 1 delivers two primitives early — the primitive shift-ratio condition (unblocks Role 2’s sweep and Role 3’s class U) and the existence condition (unblocks Role 3’s covariation and Role 2’s Hessian check). Roles 2–4 hand Role 4 their final statements for assembly. Acceptance gate: a referee cannot reject on rigor once Role 1 (keystone) and Role 4 (consistency + positioning) land; Roles 2–3 turn acceptance into a strong one.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