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Greening Flexible Computing: Why the Carbon Tax and the Curtailment Contract Are Not Equivalent</w:t>
      </w:r>
    </w:p>
    <w:p>
      <w:pPr>
        <w:pStyle w:val="BodyText"/>
      </w:pPr>
      <w:r>
        <w:t xml:space="preserve">Keshav Krishnan</w:t>
      </w:r>
    </w:p>
    <w:p>
      <w:pPr>
        <w:pStyle w:val="BodyText"/>
      </w:pPr>
      <w:r>
        <w:t xml:space="preserve">Mentor: Professor Jiasun Li, Department of Finance, Costello College of Business, George Mason University</w:t>
      </w:r>
    </w:p>
    <w:p>
      <w:pPr>
        <w:pStyle w:val="BodyText"/>
      </w:pPr>
      <w:r>
        <w:rPr>
          <w:b/>
          <w:bCs/>
        </w:rPr>
        <w:t xml:space="preserve">Abstract</w:t>
      </w:r>
    </w:p>
    <w:p>
      <w:pPr>
        <w:pStyle w:val="BodyText"/>
      </w:pPr>
      <w:r>
        <w:t xml:space="preserve">Bitcoin mining and AI training data centers are the fastest-growing electricity loads in the United States, and whether they raise or lower carbon emissions is genuinely unsettled: careful studies reach opposite conclusions, often for the same technology in different regions. I model a regulated utility that jointly chooses renewable, fossil, and flexible computing capacity under stochastic residual demand, solving dispatch and investment together rather than in sequence. Three equilibrium cutoffs turn out to be distribution-free, pure ratios of prices and costs that hold whatever the shape of demand, and the net carbon change admits an exact closed form. It splits into a utilization channel, where computing keeps fossil plants running in spare hours, and a capacity-substitution channel, where computing revenue funds renewable build-out. At every interior optimum I can solve, the unconstrained dispatch rule raises emissions: the build-out that fossil-powered computing finances never pays for the fuel it burns.</w:t>
      </w:r>
    </w:p>
    <w:p>
      <w:pPr>
        <w:pStyle w:val="BodyText"/>
      </w:pPr>
      <w:r>
        <w:t xml:space="preserve">The main result concerns how to fix that, and it compares the two instruments available. A tax on fossil output and a contract capping the load at realized renewable surplus both drive computing emissions to zero, and at their respective thresholds they are allocation-equivalent, with identical dispatch and identical entry by the marginal machine. They are not revenue-equivalent. The tax pays renewables the scarcity rent in the hours the load induces; the cap leaves those hours priced at zero. Because that rent is also the marginal return to renewable investment, the two instruments induce different renewable capacity, and the resulting emissions are strictly ordered. Equivalence does not survive endogenous investment. I also settle the boundary case where the tax exactly extinguishes fossil-powered computing, at which producers are indifferent and the equilibrium quantity is a correspondence rather than a point.</w:t>
      </w:r>
    </w:p>
    <w:p>
      <w:pPr>
        <w:pStyle w:val="BodyText"/>
      </w:pPr>
      <w:r>
        <w:t xml:space="preserve">New York's moratorium on fossil-fired mining is a cap. These results price what it gives up.</w:t>
      </w:r>
    </w:p>
    <w:p>
      <w:pPr>
        <w:pStyle w:val="BodyText"/>
      </w:pPr>
      <w:r>
        <w:rPr>
          <w:b/>
          <w:bCs/>
        </w:rPr>
        <w:t xml:space="preserve">Keywords:</w:t>
      </w:r>
      <w:r>
        <w:t xml:space="preserve"> </w:t>
      </w:r>
      <w:r>
        <w:t xml:space="preserve">flexible computing loads, Bitcoin mining, data centers, curtailment contracts, carbon taxes, capacity investment, electricity markets.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2026-07-22T20:58:01Z</dcterms:created>
  <dcterms:modified xsi:type="dcterms:W3CDTF">2026-07-22T20:58:01Z</dcterms:modified>
</cp:coreProperties>
</file>

<file path=docProps/custom.xml><?xml version="1.0" encoding="utf-8"?>
<Properties xmlns="http://schemas.openxmlformats.org/officeDocument/2006/custom-properties" xmlns:vt="http://schemas.openxmlformats.org/officeDocument/2006/docPropsVTypes"/>
</file>