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699"/>
          <w:sz w:val="40"/>
        </w:rPr>
        <w:t>A1 Week 2 Plan</w:t>
      </w:r>
    </w:p>
    <w:p>
      <w:pPr>
        <w:spacing w:before="200"/>
      </w:pPr>
      <w:r>
        <w:rPr>
          <w:b/>
          <w:color w:val="1F5699"/>
          <w:sz w:val="26"/>
        </w:rPr>
        <w:t>Role 1 (Optimal Contract and General Carbon Theory)</w:t>
      </w:r>
    </w:p>
    <w:p>
      <w:pPr>
        <w:pStyle w:val="ListBullet"/>
      </w:pPr>
      <w:r>
        <w:rPr>
          <w:b/>
        </w:rPr>
        <w:t xml:space="preserve">Establish existence, uniqueness, and the optimal contract. </w:t>
      </w:r>
      <w:r>
        <w:t>Prove coercivity of expected profit and a primitive condition on F (e.g. a log-concave density) under which the interior capacity optimum is unique, and prove that the dispatch contract d*(x)=min{(K_F−x)_+, K_M} is the unique optimal policy via the strict R&gt;c ordering. This discharges the currently-assumed interior optimum and supplies the negative-definite-Hessian condition from primitives.</w:t>
      </w:r>
    </w:p>
    <w:p>
      <w:pPr>
        <w:pStyle w:val="ListBullet"/>
      </w:pPr>
      <w:r>
        <w:rPr>
          <w:b/>
        </w:rPr>
        <w:t xml:space="preserve">Promote the shift-ratio condition to a primitive. </w:t>
      </w:r>
      <w:r>
        <w:t>Replace the endogenous-window condition g(x)=F_{K_R}/f non-increasing with a support-wide condition on F that implies it, and prove the implication.</w:t>
      </w:r>
    </w:p>
    <w:p>
      <w:pPr>
        <w:pStyle w:val="ListBullet"/>
      </w:pPr>
      <w:r>
        <w:rPr>
          <w:b/>
        </w:rPr>
        <w:t xml:space="preserve">Prove the necessary-and-sufficient emission condition for general F. </w:t>
      </w:r>
      <w:r>
        <w:t>Under that primitive plus a tail/skew condition, prove a sharp iff for carbon reduction at a finite interior optimum, upgrading the endogenous inequality (C) and the current existence conjecture to a clean condition in primitives. Exhibit a non-power-law F satisfying all three conditions to certify the class is non-vacuous and genuinely more general than the power-law/uniform case.</w:t>
      </w:r>
    </w:p>
    <w:p>
      <w:pPr>
        <w:pStyle w:val="ListBullet"/>
      </w:pPr>
      <w:r>
        <w:rPr>
          <w:b/>
        </w:rPr>
        <w:t xml:space="preserve">Complete the viability threshold. </w:t>
      </w:r>
      <w:r>
        <w:t>Extend the renewable-cost window from the power-law family to general F, with the strict fall at a finite interior K_R* rather than the unbounded corner, and prove the carbon-reduction set is an interval (single-crossing in C_R) so carbon falls if and only if C_R is below the threshold.</w:t>
      </w:r>
    </w:p>
    <w:p>
      <w:pPr>
        <w:pStyle w:val="ListBullet"/>
      </w:pPr>
      <w:r>
        <w:rPr>
          <w:b/>
        </w:rPr>
        <w:t xml:space="preserve">State the main theorem and re-scope. </w:t>
      </w:r>
      <w:r>
        <w:t>State the headline theorem, align the abstract and title to exactly what is proved, and write the economic intuition at journal quality.</w:t>
      </w:r>
    </w:p>
    <w:p>
      <w:pPr>
        <w:spacing w:before="200"/>
      </w:pPr>
      <w:r>
        <w:rPr>
          <w:b/>
          <w:color w:val="1F5699"/>
          <w:sz w:val="26"/>
        </w:rPr>
        <w:t>Role 2 (Solver and Numerical Methods)</w:t>
      </w:r>
    </w:p>
    <w:p>
      <w:pPr>
        <w:pStyle w:val="ListBullet"/>
      </w:pPr>
      <w:r>
        <w:rPr>
          <w:b/>
        </w:rPr>
        <w:t xml:space="preserve">Build and document the general solver. </w:t>
      </w:r>
      <w:r>
        <w:t>Finalize the joint-capacity and dispatch solver for d*(x) and the capacities under any residual-demand distribution — the validated backend the rest of the group relies on.</w:t>
      </w:r>
    </w:p>
    <w:p>
      <w:pPr>
        <w:pStyle w:val="ListBullet"/>
      </w:pPr>
      <w:r>
        <w:rPr>
          <w:b/>
        </w:rPr>
        <w:t xml:space="preserve">Deliver one carbon-sign narrative. </w:t>
      </w:r>
      <w:r>
        <w:t>Replace the scattered counts with a principled sweep over Role 1's primitive condition on a curated distribution family, showing carbon falls at a finite interior optimum.</w:t>
      </w:r>
    </w:p>
    <w:p>
      <w:pPr>
        <w:pStyle w:val="ListBullet"/>
      </w:pPr>
      <w:r>
        <w:rPr>
          <w:b/>
        </w:rPr>
        <w:t xml:space="preserve">Provide a Hessian / existence certificate. </w:t>
      </w:r>
      <w:r>
        <w:t>A reproducible check that the Hessian is negative definite on the interior path for Role 1's distribution class, backstopping existence and uniqueness.</w:t>
      </w:r>
    </w:p>
    <w:p>
      <w:pPr>
        <w:pStyle w:val="ListBullet"/>
      </w:pPr>
      <w:r>
        <w:rPr>
          <w:b/>
        </w:rPr>
        <w:t xml:space="preserve">Harden the solver and ship reproducibility. </w:t>
      </w:r>
      <w:r>
        <w:t>Replace finite-difference cofactors with analytic ones to remove the noisy knife-edge points, and ship a single command that reproduces the exact-formula checks and the carbon sweep, with documented tolerances.</w:t>
      </w:r>
    </w:p>
    <w:p>
      <w:pPr>
        <w:spacing w:before="200"/>
      </w:pPr>
      <w:r>
        <w:rPr>
          <w:b/>
          <w:color w:val="1F5699"/>
          <w:sz w:val="26"/>
        </w:rPr>
        <w:t>Role 3 (Comparative Statics and Robustness)</w:t>
      </w:r>
    </w:p>
    <w:p>
      <w:pPr>
        <w:pStyle w:val="ListBullet"/>
      </w:pPr>
      <w:r>
        <w:rPr>
          <w:b/>
        </w:rPr>
        <w:t xml:space="preserve">Prove the correlation and price comparative statics. </w:t>
      </w:r>
      <w:r>
        <w:t>Show the net-carbon sign is governed by the demand–supply association (the shift ratio g = E[S | x]); that mining raises optimal renewable capacity K_R* &gt; K_R°; and sign the monotonicities in the computing margin R, the blackout penalty β, and the retail price p, under general conditions.</w:t>
      </w:r>
    </w:p>
    <w:p>
      <w:pPr>
        <w:pStyle w:val="ListBullet"/>
      </w:pPr>
      <w:r>
        <w:rPr>
          <w:b/>
        </w:rPr>
        <w:t xml:space="preserve">Establish the cross-distribution robust certificate. </w:t>
      </w:r>
      <w:r>
        <w:t>Sign the capacity covariation along the shape class U so the least-favorable result holds across F, making the renewable-cost condition a genuine distributionally-robust certificate, or prove the obstruction cleanly.</w:t>
      </w:r>
    </w:p>
    <w:p>
      <w:pPr>
        <w:pStyle w:val="ListBullet"/>
      </w:pPr>
      <w:r>
        <w:rPr>
          <w:b/>
        </w:rPr>
        <w:t xml:space="preserve">Construct the reversed-channel counterexample. </w:t>
      </w:r>
      <w:r>
        <w:t>Build a realized F with g increasing so that K_R* &lt; K_R° — the sharpness example Week 1 could not produce, since an algebraic sign-flip is not a realized example.</w:t>
      </w:r>
    </w:p>
    <w:p>
      <w:pPr>
        <w:pStyle w:val="ListBullet"/>
      </w:pPr>
      <w:r>
        <w:rPr>
          <w:b/>
        </w:rPr>
        <w:t xml:space="preserve">Repair the limit-interchange. </w:t>
      </w:r>
      <w:r>
        <w:t>Replace the expected-fossil-to-zero corner step with a dominated-convergence or finite-capacity envelope argument.</w:t>
      </w:r>
    </w:p>
    <w:p>
      <w:pPr>
        <w:spacing w:before="200"/>
      </w:pPr>
      <w:r>
        <w:rPr>
          <w:b/>
          <w:color w:val="1F5699"/>
          <w:sz w:val="26"/>
        </w:rPr>
        <w:t>Role 4 (Mechanism Design, Regimes, and Positioning)</w:t>
      </w:r>
    </w:p>
    <w:p>
      <w:pPr>
        <w:pStyle w:val="ListBullet"/>
      </w:pPr>
      <w:r>
        <w:rPr>
          <w:b/>
        </w:rPr>
        <w:t xml:space="preserve">Strengthen the mechanism-design treatment. </w:t>
      </w:r>
      <w:r>
        <w:t>Cast the regulator as principal and the utility/miner as agent; write the participation and incentive-compatibility constraints and prove the price-based demand-response program implements d* optimally and, where feasible, uniquely — not merely as the principal's first-best dispatch; state the conditions (price-taking, exogenous R) under which those constraints are slack and the induced miner-demand result holds.</w:t>
      </w:r>
    </w:p>
    <w:p>
      <w:pPr>
        <w:pStyle w:val="ListBullet"/>
      </w:pPr>
      <w:r>
        <w:rPr>
          <w:b/>
        </w:rPr>
        <w:t xml:space="preserve">Unify and complete the regime map. </w:t>
      </w:r>
      <w:r>
        <w:t>Use one Assumption 1 and one carbon decomposition throughout; fold the finite-optimum statement and the renewable-cost boundedness axis into a single consistent regime theorem with the Assumption-1 necessity pattern.</w:t>
      </w:r>
    </w:p>
    <w:p>
      <w:pPr>
        <w:pStyle w:val="ListBullet"/>
      </w:pPr>
      <w:r>
        <w:rPr>
          <w:b/>
        </w:rPr>
        <w:t xml:space="preserve">State the limitations and scope boundary. </w:t>
      </w:r>
      <w:r>
        <w:t>State explicitly what is assumed and what is deferred to the companion workstreams (calibration; reliability, welfare, and pricing; the flexibility continuum and dynamics), so no referee can reject on an unaddressed omission rather than an error in scope.</w:t>
      </w:r>
    </w:p>
    <w:p>
      <w:pPr>
        <w:pStyle w:val="ListBullet"/>
      </w:pPr>
      <w:r>
        <w:rPr>
          <w:b/>
        </w:rPr>
        <w:t xml:space="preserve">Position and assemble. </w:t>
      </w:r>
      <w:r>
        <w:t>Write the related-work section on the methods used — monotone comparative statics, interruptible and demand-response load economics, and distributionally-robust analysis — add the bibliography, and assemble the pieces into one manuscript with a single notation 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