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5699"/>
          <w:sz w:val="40"/>
        </w:rPr>
        <w:t>A1 Week 2 Plan</w:t>
      </w:r>
    </w:p>
    <w:p>
      <w:pPr>
        <w:spacing w:before="200"/>
      </w:pPr>
      <w:r>
        <w:rPr>
          <w:b/>
          <w:color w:val="1F5699"/>
          <w:sz w:val="26"/>
        </w:rPr>
        <w:t>Role 1 (Optimal Contract and General Carbon Theory)</w:t>
      </w:r>
    </w:p>
    <w:p>
      <w:pPr>
        <w:pStyle w:val="ListBullet"/>
      </w:pPr>
      <w:r>
        <w:rPr>
          <w:b/>
        </w:rPr>
        <w:t xml:space="preserve">Prove existence, uniqueness, and contract optimality. </w:t>
      </w:r>
      <w:r>
        <w:t>Prove the interior optimum is unique via the recursive FOC structure — the distribution-free cutoff F(K_F°)=φ° pins K_F* as a unique implicit function, then K_M*, then K_R* (a monotone-triangular / diagonal-dominance condition on the Hessian in primitives, not global concavity, which fails since Π is submodular in (K_R,K_F)); and prove d*(x)=min{(K_F−x)_+,K_M} is the unique optimal dispatch via strict R&gt;c.</w:t>
      </w:r>
    </w:p>
    <w:p>
      <w:pPr>
        <w:pStyle w:val="ListBullet"/>
      </w:pPr>
      <w:r>
        <w:rPr>
          <w:b/>
        </w:rPr>
        <w:t xml:space="preserve">Make the shift-ratio condition uniform along the homotopy. </w:t>
      </w:r>
      <w:r>
        <w:t>Prove that support-wide monotonicity of g(x)=F_{K_R}/f implies the realized endpoint condition holds uniformly along the whole C_M-homotopy, even as the window (K_F*−K_M*, K_F*) moves — this is the actual content Theorem 1's 'integrate downward' step needs, beyond the pointwise condition.</w:t>
      </w:r>
    </w:p>
    <w:p>
      <w:pPr>
        <w:pStyle w:val="ListBullet"/>
      </w:pPr>
      <w:r>
        <w:rPr>
          <w:b/>
        </w:rPr>
        <w:t xml:space="preserve">Prove the emission condition for general F (keystone). </w:t>
      </w:r>
      <w:r>
        <w:t>Substitute the equilibrium map K*(C_R) into the exact inequality (C) to get the endogenous carbon condition, and prove a primitive sufficient condition (the endpoint shift-ratio condition plus a tail/skew bound) under which it holds at a finite interior optimum; exhibit a non-power-law F (e.g. truncated lognormal) satisfying it to prove the admissible class is non-vacuous.</w:t>
      </w:r>
    </w:p>
    <w:p>
      <w:pPr>
        <w:pStyle w:val="ListBullet"/>
      </w:pPr>
      <w:r>
        <w:rPr>
          <w:b/>
        </w:rPr>
        <w:t xml:space="preserve">Prove connectedness of the carbon-reduction set. </w:t>
      </w:r>
      <w:r>
        <w:t>Prove {C_R : Δ(C_R)≥0} is bounded above (large-cost anchor) and non-empty, and that it is a single interval under an explicit monotone-renewable-shadow-value condition on F — general F can cross zero twice, so identify and prove the condition that rules out the second crossing.</w:t>
      </w:r>
    </w:p>
    <w:p>
      <w:pPr>
        <w:pStyle w:val="ListBullet"/>
      </w:pPr>
      <w:r>
        <w:rPr>
          <w:b/>
        </w:rPr>
        <w:t xml:space="preserve">Prove the sharp channel condition and tight bounds. </w:t>
      </w:r>
      <w:r>
        <w:t>Establish the sharp necessary-and-sufficient condition for K_R*&gt;K_R°: the realized two-point endpoint inequality g(K_F*)≥g(K_F*−K_M*) — monotone g is sufficient but NOT necessary — and prove the two-sided bounds on the carbon saving Δ are tight by exhibiting the attaining distributions.</w:t>
      </w:r>
    </w:p>
    <w:p>
      <w:pPr>
        <w:spacing w:before="200"/>
      </w:pPr>
      <w:r>
        <w:rPr>
          <w:b/>
          <w:color w:val="1F5699"/>
          <w:sz w:val="26"/>
        </w:rPr>
        <w:t>Role 2 (Solver and Numerical Methods)</w:t>
      </w:r>
    </w:p>
    <w:p>
      <w:pPr>
        <w:pStyle w:val="ListBullet"/>
      </w:pPr>
      <w:r>
        <w:rPr>
          <w:b/>
        </w:rPr>
        <w:t xml:space="preserve">Build and validate the general solver. </w:t>
      </w:r>
      <w:r>
        <w:t>Implement the joint-capacity/dispatch solver for d*(x) and (K_R,K_F,K_M) under any residual-demand distribution, validated against the benchmarks to machine precision — including at least one non-power-law F with a semi-closed form, so the test set goes beyond the Week-1 uniform case.</w:t>
      </w:r>
    </w:p>
    <w:p>
      <w:pPr>
        <w:pStyle w:val="ListBullet"/>
      </w:pPr>
      <w:r>
        <w:rPr>
          <w:b/>
        </w:rPr>
        <w:t xml:space="preserve">Run the carbon-sign sweep at a finite optimum. </w:t>
      </w:r>
      <w:r>
        <w:t>Sweep over Role 1's primitive condition on a synthetic, theory-tied distribution family and show numerically that carbon falls at a finite interior optimum — one principled map replacing the scattered Week-1 counts.</w:t>
      </w:r>
    </w:p>
    <w:p>
      <w:pPr>
        <w:pStyle w:val="ListBullet"/>
      </w:pPr>
      <w:r>
        <w:rPr>
          <w:b/>
        </w:rPr>
        <w:t xml:space="preserve">Derive the analytic Hessian and certify negative-definiteness. </w:t>
      </w:r>
      <w:r>
        <w:t>Derive and implement the full analytic Hessian and comparative-statics cofactors (replacing the knife-edge-noisy finite differences), and on that analytic Hessian certify negative-definiteness along the interior path for Role 1's class.</w:t>
      </w:r>
    </w:p>
    <w:p>
      <w:pPr>
        <w:pStyle w:val="ListBullet"/>
      </w:pPr>
      <w:r>
        <w:rPr>
          <w:b/>
        </w:rPr>
        <w:t xml:space="preserve">Map the boundary of the regularity region. </w:t>
      </w:r>
      <w:r>
        <w:t>Exhibit distributions in the admitted class where the Hessian fails to be negative definite, delimiting Condition 2 sharply and complementing Role 1's uniqueness proof — a numerical map of where regularity holds.</w:t>
      </w:r>
    </w:p>
    <w:p>
      <w:pPr>
        <w:spacing w:before="200"/>
      </w:pPr>
      <w:r>
        <w:rPr>
          <w:b/>
          <w:color w:val="1F5699"/>
          <w:sz w:val="26"/>
        </w:rPr>
        <w:t>Role 3 (Comparative Statics and Robustness)</w:t>
      </w:r>
    </w:p>
    <w:p>
      <w:pPr>
        <w:pStyle w:val="ListBullet"/>
      </w:pPr>
      <w:r>
        <w:rPr>
          <w:b/>
        </w:rPr>
        <w:t xml:space="preserve">Sign the price and adoption-margin comparative statics. </w:t>
      </w:r>
      <w:r>
        <w:t>Via the Hessian-cofactor identities, under the explicit interior-regime hypotheses (R inside the Assumption-1 bounds), sign ∂(carbon effect)/∂R, ∂/∂β, ∂/∂p, and ∂/∂C_M (the adoption margin), and prove mining raises K_R*&gt;K_R° under the endpoint shift-ratio condition.</w:t>
      </w:r>
    </w:p>
    <w:p>
      <w:pPr>
        <w:pStyle w:val="ListBullet"/>
      </w:pPr>
      <w:r>
        <w:rPr>
          <w:b/>
        </w:rPr>
        <w:t xml:space="preserve">Prove the cross-distribution robust certificate. </w:t>
      </w:r>
      <w:r>
        <w:t>Along a specified one-parameter deformation within the shape class U (a mean-preserving-spread / likelihood-ratio path), sign the capacity covariation dK*/dt so the least-favorable result holds across the path — making C_R ≤ C_R† ⇒ Δ ≥ 0 a genuine robust certificate — or prove the obstruction.</w:t>
      </w:r>
    </w:p>
    <w:p>
      <w:pPr>
        <w:pStyle w:val="ListBullet"/>
      </w:pPr>
      <w:r>
        <w:rPr>
          <w:b/>
        </w:rPr>
        <w:t xml:space="preserve">Construct the reversed-channel counterexample. </w:t>
      </w:r>
      <w:r>
        <w:t>Construct a realized F violating the endpoint shift-ratio condition (g(K_F*)&lt;g(K_F*−K_M*) at the realized thresholds) for which K_R*&lt;K_R°, and solve it numerically — the sharpness witness Week 1 could not produce, certifying necessity of the endpoint condition (Role 1).</w:t>
      </w:r>
    </w:p>
    <w:p>
      <w:pPr>
        <w:pStyle w:val="ListBullet"/>
      </w:pPr>
      <w:r>
        <w:rPr>
          <w:b/>
        </w:rPr>
        <w:t xml:space="preserve">Prove the limit-interchange rigorously. </w:t>
      </w:r>
      <w:r>
        <w:t>Replace the expected-fossil-to-zero a.s.-corner step with a dominated-convergence / finite-capacity envelope argument, so the threshold proof holds without the limit shortcut.</w:t>
      </w:r>
    </w:p>
    <w:p>
      <w:pPr>
        <w:spacing w:before="200"/>
      </w:pPr>
      <w:r>
        <w:rPr>
          <w:b/>
          <w:color w:val="1F5699"/>
          <w:sz w:val="26"/>
        </w:rPr>
        <w:t>Role 4 (Mechanism Design and Regimes)</w:t>
      </w:r>
    </w:p>
    <w:p>
      <w:pPr>
        <w:pStyle w:val="ListBullet"/>
      </w:pPr>
      <w:r>
        <w:rPr>
          <w:b/>
        </w:rPr>
        <w:t xml:space="preserve">Prove a single-price implements the optimum. </w:t>
      </w:r>
      <w:r>
        <w:t>Prove the non-trivial instrument result: a single per-MWh price R (not a state-contingent transfer) uniquely implements the dispatch d* and pins the capacity vector, and characterize exactly when the price instrument is rich enough to do so — the regulator's instrument-design problem.</w:t>
      </w:r>
    </w:p>
    <w:p>
      <w:pPr>
        <w:pStyle w:val="ListBullet"/>
      </w:pPr>
      <w:r>
        <w:rPr>
          <w:b/>
        </w:rPr>
        <w:t xml:space="preserve">Prove the unified regime theorem. </w:t>
      </w:r>
      <w:r>
        <w:t>Compose the C_M coverage axis (no adoption / small-FCL / interior / full coverage) and the C_R boundedness axis into one theorem, and pin down the small-FCL/large-FCL crossover precisely as the parameter-space locus where K_M*=K_R° (left open in Week 1).</w:t>
      </w:r>
    </w:p>
    <w:p>
      <w:pPr>
        <w:pStyle w:val="ListBullet"/>
      </w:pPr>
      <w:r>
        <w:rPr>
          <w:b/>
        </w:rPr>
        <w:t xml:space="preserve">Prove the necessity of Assumption 1. </w:t>
      </w:r>
      <w:r>
        <w:t>Upgrade the four parameter conditions from pressure-test to proof: prove each is necessary for the interior optimum or the sign it guards, and characterize the regime obtained when relaxed (full-coverage corner, no adoption, or perverse curtailment).</w:t>
      </w:r>
    </w:p>
    <w:p>
      <w:pPr>
        <w:pStyle w:val="ListBullet"/>
      </w:pPr>
      <w:r>
        <w:rPr>
          <w:b/>
        </w:rPr>
        <w:t xml:space="preserve">Characterize the second-best contract under private information. </w:t>
      </w:r>
      <w:r>
        <w:t>Introduce genuine private information the principal cannot infer from observed demand — the agent privately knows the renewable factor S while only the demand D is observed, so residual demand is the agent's private signal — and derive the second-best screening contract and how its information rent shifts the emission outcome versus the full-information benchmark.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