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DeepLabV3Plus_MobileNetV3</w:t>
      </w:r>
    </w:p>
    <w:p>
      <w:pPr>
        <w:jc w:val="center"/>
      </w:pPr>
      <w:r>
        <w:rPr>
          <w:b/>
        </w:rPr>
        <w:t>Duality AI Hackathon Submission</w:t>
      </w:r>
    </w:p>
    <w:p>
      <w:pPr>
        <w:jc w:val="center"/>
      </w:pPr>
      <w:r>
        <w:rPr>
          <w:b/>
          <w:sz w:val="28"/>
        </w:rPr>
        <w:t>Team:  Ikigai</w:t>
      </w:r>
    </w:p>
    <w:p>
      <w:pPr>
        <w:jc w:val="center"/>
      </w:pPr>
      <w:r>
        <w:rPr>
          <w:i/>
        </w:rPr>
        <w:t>MobileNet based DeepLab variant combining depthwise separable convolutions with atrous spatial pyramid pooling.</w:t>
      </w:r>
    </w:p>
    <w:p/>
    <w:p>
      <w:pPr>
        <w:jc w:val="center"/>
      </w:pPr>
      <w:r>
        <w:rPr>
          <w:b/>
        </w:rPr>
        <w:t>Architecture: MobileDeepLab     |</w:t>
      </w:r>
      <w:r>
        <w:rPr>
          <w:b/>
        </w:rPr>
        <w:t xml:space="preserve">  Best IoU: 0.3858</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This variant couples a lightweight MobileNet backbone with DeepLab's ASPP module, achieving a strong accuracy efficiency tradeoff suitable for resource constrained environments.</w:t>
      </w:r>
    </w:p>
    <w:p>
      <w:pPr>
        <w:pStyle w:val="Heading2"/>
      </w:pPr>
      <w:r>
        <w:t>Training Strategy</w:t>
      </w:r>
    </w:p>
    <w:p>
      <w:r>
        <w:t>Transfer learning from ImageNet pretrained MobileNet backbone. Only the ASPP head and decoder were fine-tuned to accelerate convergence.</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0.3858</w:t>
            </w:r>
          </w:p>
        </w:tc>
      </w:tr>
      <w:tr>
        <w:tc>
          <w:tcPr>
            <w:tcW w:type="dxa" w:w="4986"/>
          </w:tcPr>
          <w:p>
            <w:r>
              <w:t>Final Mean IoU</w:t>
            </w:r>
          </w:p>
        </w:tc>
        <w:tc>
          <w:tcPr>
            <w:tcW w:type="dxa" w:w="4986"/>
          </w:tcPr>
          <w:p>
            <w:r>
              <w:t>0.3858</w:t>
            </w:r>
          </w:p>
        </w:tc>
      </w:tr>
      <w:tr>
        <w:tc>
          <w:tcPr>
            <w:tcW w:type="dxa" w:w="4986"/>
          </w:tcPr>
          <w:p>
            <w:r>
              <w:t>Best Epoch</w:t>
            </w:r>
          </w:p>
        </w:tc>
        <w:tc>
          <w:tcPr>
            <w:tcW w:type="dxa" w:w="4986"/>
          </w:tcPr>
          <w:p>
            <w:r>
              <w:t>11</w:t>
            </w:r>
          </w:p>
        </w:tc>
      </w:tr>
      <w:tr>
        <w:tc>
          <w:tcPr>
            <w:tcW w:type="dxa" w:w="4986"/>
          </w:tcPr>
          <w:p>
            <w:r>
              <w:t>Convergence Epoch</w:t>
            </w:r>
          </w:p>
        </w:tc>
        <w:tc>
          <w:tcPr>
            <w:tcW w:type="dxa" w:w="4986"/>
          </w:tcPr>
          <w:p>
            <w:r>
              <w:t>5</w:t>
            </w:r>
          </w:p>
        </w:tc>
      </w:tr>
      <w:tr>
        <w:tc>
          <w:tcPr>
            <w:tcW w:type="dxa" w:w="4986"/>
          </w:tcPr>
          <w:p>
            <w:r>
              <w:t>Final Train Loss</w:t>
            </w:r>
          </w:p>
        </w:tc>
        <w:tc>
          <w:tcPr>
            <w:tcW w:type="dxa" w:w="4986"/>
          </w:tcPr>
          <w:p>
            <w:r>
              <w:t>0.9947</w:t>
            </w:r>
          </w:p>
        </w:tc>
      </w:tr>
      <w:tr>
        <w:tc>
          <w:tcPr>
            <w:tcW w:type="dxa" w:w="4986"/>
          </w:tcPr>
          <w:p>
            <w:r>
              <w:t>Final Val Loss</w:t>
            </w:r>
          </w:p>
        </w:tc>
        <w:tc>
          <w:tcPr>
            <w:tcW w:type="dxa" w:w="4986"/>
          </w:tcPr>
          <w:p>
            <w:r>
              <w:t>0.5808</w:t>
            </w:r>
          </w:p>
        </w:tc>
      </w:tr>
      <w:tr>
        <w:tc>
          <w:tcPr>
            <w:tcW w:type="dxa" w:w="4986"/>
          </w:tcPr>
          <w:p>
            <w:r>
              <w:t>Model Size (MB)</w:t>
            </w:r>
          </w:p>
        </w:tc>
        <w:tc>
          <w:tcPr>
            <w:tcW w:type="dxa" w:w="4986"/>
          </w:tcPr>
          <w:p>
            <w:r>
              <w:t>42.29</w:t>
            </w:r>
          </w:p>
        </w:tc>
      </w:tr>
      <w:tr>
        <w:tc>
          <w:tcPr>
            <w:tcW w:type="dxa" w:w="4986"/>
          </w:tcPr>
          <w:p>
            <w:r>
              <w:t>Parameters (M)</w:t>
            </w:r>
          </w:p>
        </w:tc>
        <w:tc>
          <w:tcPr>
            <w:tcW w:type="dxa" w:w="4986"/>
          </w:tcPr>
          <w:p>
            <w:r>
              <w:t>11.05</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0.9483</w:t>
            </w:r>
          </w:p>
        </w:tc>
        <w:tc>
          <w:tcPr>
            <w:tcW w:type="dxa" w:w="3324"/>
          </w:tcPr>
          <w:p>
            <w:r>
              <w:t>Good</w:t>
            </w:r>
          </w:p>
        </w:tc>
      </w:tr>
      <w:tr>
        <w:tc>
          <w:tcPr>
            <w:tcW w:type="dxa" w:w="3324"/>
          </w:tcPr>
          <w:p>
            <w:r>
              <w:t>Trees</w:t>
            </w:r>
          </w:p>
        </w:tc>
        <w:tc>
          <w:tcPr>
            <w:tcW w:type="dxa" w:w="3324"/>
          </w:tcPr>
          <w:p>
            <w:r>
              <w:t>0.4957</w:t>
            </w:r>
          </w:p>
        </w:tc>
        <w:tc>
          <w:tcPr>
            <w:tcW w:type="dxa" w:w="3324"/>
          </w:tcPr>
          <w:p>
            <w:r>
              <w:t>Moderate</w:t>
            </w:r>
          </w:p>
        </w:tc>
      </w:tr>
      <w:tr>
        <w:tc>
          <w:tcPr>
            <w:tcW w:type="dxa" w:w="3324"/>
          </w:tcPr>
          <w:p>
            <w:r>
              <w:t>Dry Grass</w:t>
            </w:r>
          </w:p>
        </w:tc>
        <w:tc>
          <w:tcPr>
            <w:tcW w:type="dxa" w:w="3324"/>
          </w:tcPr>
          <w:p>
            <w:r>
              <w:t>0.4359</w:t>
            </w:r>
          </w:p>
        </w:tc>
        <w:tc>
          <w:tcPr>
            <w:tcW w:type="dxa" w:w="3324"/>
          </w:tcPr>
          <w:p>
            <w:r>
              <w:t>Moderate</w:t>
            </w:r>
          </w:p>
        </w:tc>
      </w:tr>
      <w:tr>
        <w:tc>
          <w:tcPr>
            <w:tcW w:type="dxa" w:w="3324"/>
          </w:tcPr>
          <w:p>
            <w:r>
              <w:t>Background</w:t>
            </w:r>
          </w:p>
        </w:tc>
        <w:tc>
          <w:tcPr>
            <w:tcW w:type="dxa" w:w="3324"/>
          </w:tcPr>
          <w:p>
            <w:r>
              <w:t>0.4037</w:t>
            </w:r>
          </w:p>
        </w:tc>
        <w:tc>
          <w:tcPr>
            <w:tcW w:type="dxa" w:w="3324"/>
          </w:tcPr>
          <w:p>
            <w:r>
              <w:t>Moderate</w:t>
            </w:r>
          </w:p>
        </w:tc>
      </w:tr>
      <w:tr>
        <w:tc>
          <w:tcPr>
            <w:tcW w:type="dxa" w:w="3324"/>
          </w:tcPr>
          <w:p>
            <w:r>
              <w:t>Lush Bushes</w:t>
            </w:r>
          </w:p>
        </w:tc>
        <w:tc>
          <w:tcPr>
            <w:tcW w:type="dxa" w:w="3324"/>
          </w:tcPr>
          <w:p>
            <w:r>
              <w:t>0.3607</w:t>
            </w:r>
          </w:p>
        </w:tc>
        <w:tc>
          <w:tcPr>
            <w:tcW w:type="dxa" w:w="3324"/>
          </w:tcPr>
          <w:p>
            <w:r>
              <w:t>Moderate</w:t>
            </w:r>
          </w:p>
        </w:tc>
      </w:tr>
      <w:tr>
        <w:tc>
          <w:tcPr>
            <w:tcW w:type="dxa" w:w="3324"/>
          </w:tcPr>
          <w:p>
            <w:r>
              <w:t>Landscape</w:t>
            </w:r>
          </w:p>
        </w:tc>
        <w:tc>
          <w:tcPr>
            <w:tcW w:type="dxa" w:w="3324"/>
          </w:tcPr>
          <w:p>
            <w:r>
              <w:t>0.3600</w:t>
            </w:r>
          </w:p>
        </w:tc>
        <w:tc>
          <w:tcPr>
            <w:tcW w:type="dxa" w:w="3324"/>
          </w:tcPr>
          <w:p>
            <w:r>
              <w:t>Moderate</w:t>
            </w:r>
          </w:p>
        </w:tc>
      </w:tr>
      <w:tr>
        <w:tc>
          <w:tcPr>
            <w:tcW w:type="dxa" w:w="3324"/>
          </w:tcPr>
          <w:p>
            <w:r>
              <w:t>Dry Bushes</w:t>
            </w:r>
          </w:p>
        </w:tc>
        <w:tc>
          <w:tcPr>
            <w:tcW w:type="dxa" w:w="3324"/>
          </w:tcPr>
          <w:p>
            <w:r>
              <w:t>0.2376</w:t>
            </w:r>
          </w:p>
        </w:tc>
        <w:tc>
          <w:tcPr>
            <w:tcW w:type="dxa" w:w="3324"/>
          </w:tcPr>
          <w:p>
            <w:r>
              <w:t>Moderate</w:t>
            </w:r>
          </w:p>
        </w:tc>
      </w:tr>
      <w:tr>
        <w:tc>
          <w:tcPr>
            <w:tcW w:type="dxa" w:w="3324"/>
          </w:tcPr>
          <w:p>
            <w:r>
              <w:t>Ground Clutter</w:t>
            </w:r>
          </w:p>
        </w:tc>
        <w:tc>
          <w:tcPr>
            <w:tcW w:type="dxa" w:w="3324"/>
          </w:tcPr>
          <w:p>
            <w:r>
              <w:t>0.1900</w:t>
            </w:r>
          </w:p>
        </w:tc>
        <w:tc>
          <w:tcPr>
            <w:tcW w:type="dxa" w:w="3324"/>
          </w:tcPr>
          <w:p>
            <w:r>
              <w:t>Poor</w:t>
            </w:r>
          </w:p>
        </w:tc>
      </w:tr>
      <w:tr>
        <w:tc>
          <w:tcPr>
            <w:tcW w:type="dxa" w:w="3324"/>
          </w:tcPr>
          <w:p>
            <w:r>
              <w:t>Rocks</w:t>
            </w:r>
          </w:p>
        </w:tc>
        <w:tc>
          <w:tcPr>
            <w:tcW w:type="dxa" w:w="3324"/>
          </w:tcPr>
          <w:p>
            <w:r>
              <w:t>0.1528</w:t>
            </w:r>
          </w:p>
        </w:tc>
        <w:tc>
          <w:tcPr>
            <w:tcW w:type="dxa" w:w="3324"/>
          </w:tcPr>
          <w:p>
            <w:r>
              <w:t>Poor</w:t>
            </w:r>
          </w:p>
        </w:tc>
      </w:tr>
      <w:tr>
        <w:tc>
          <w:tcPr>
            <w:tcW w:type="dxa" w:w="3324"/>
          </w:tcPr>
          <w:p>
            <w:r>
              <w:t>Logs</w:t>
            </w:r>
          </w:p>
        </w:tc>
        <w:tc>
          <w:tcPr>
            <w:tcW w:type="dxa" w:w="3324"/>
          </w:tcPr>
          <w:p>
            <w:r>
              <w:t>0.0866</w:t>
            </w:r>
          </w:p>
        </w:tc>
        <w:tc>
          <w:tcPr>
            <w:tcW w:type="dxa" w:w="3324"/>
          </w:tcPr>
          <w:p>
            <w:r>
              <w:t>Poor</w:t>
            </w:r>
          </w:p>
        </w:tc>
      </w:tr>
    </w:tbl>
    <w:p>
      <w:pPr>
        <w:pStyle w:val="Heading2"/>
      </w:pPr>
      <w:r>
        <w:t>Prediction Examples</w:t>
      </w:r>
    </w:p>
    <w:p>
      <w:r>
        <w:drawing>
          <wp:inline xmlns:a="http://schemas.openxmlformats.org/drawingml/2006/main" xmlns:pic="http://schemas.openxmlformats.org/drawingml/2006/picture">
            <wp:extent cx="5943600" cy="5943600"/>
            <wp:docPr id="3" name="Picture 3"/>
            <wp:cNvGraphicFramePr>
              <a:graphicFrameLocks noChangeAspect="1"/>
            </wp:cNvGraphicFramePr>
            <a:graphic>
              <a:graphicData uri="http://schemas.openxmlformats.org/drawingml/2006/picture">
                <pic:pic>
                  <pic:nvPicPr>
                    <pic:cNvPr id="0" name="prediction_grid.png"/>
                    <pic:cNvPicPr/>
                  </pic:nvPicPr>
                  <pic:blipFill>
                    <a:blip r:embed="rId11"/>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Lush Bushes, Dry Grass, Dry Bushes, Ground Clutter, Logs, Rocks, Landscape, Sky accounted for less than 5% of validation pixels, while dominant classes (Background/Sky)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failure_analysis.png"/>
                    <pic:cNvPicPr/>
                  </pic:nvPicPr>
                  <pic:blipFill>
                    <a:blip r:embed="rId12"/>
                    <a:stretch>
                      <a:fillRect/>
                    </a:stretch>
                  </pic:blipFill>
                  <pic:spPr>
                    <a:xfrm>
                      <a:off x="0" y="0"/>
                      <a:ext cx="5943600" cy="3962400"/>
                    </a:xfrm>
                    <a:prstGeom prst="rect"/>
                  </pic:spPr>
                </pic:pic>
              </a:graphicData>
            </a:graphic>
          </wp:inline>
        </w:drawing>
      </w:r>
    </w:p>
    <w:p>
      <w:r>
        <w:t>Logs (IoU: 0.0866): This class achieved low IoU, likely due to insufficient training samples and visual overlap with similar terrain types.</w:t>
      </w:r>
    </w:p>
    <w:p>
      <w:r>
        <w:t>Rocks (IoU: 0.1528): This class achieved low IoU, likely due to insufficient training samples and visual overlap with similar terrain types.</w:t>
      </w:r>
    </w:p>
    <w:p>
      <w:r>
        <w:t>Ground Clutter (IoU: 0.1900): This class achieved low IoU, likely due to insufficient training samples and visual overlap with similar terrain types.</w:t>
      </w:r>
    </w:p>
    <w:p>
      <w:pPr>
        <w:pStyle w:val="Heading3"/>
      </w:pPr>
      <w:r>
        <w:t>Current Limitation</w:t>
      </w:r>
    </w:p>
    <w:p>
      <w:r>
        <w:t>All classes achieved at least partial IoU scores. Remaining low-performing classes represent a current limitation that Future Work will address.</w:t>
      </w:r>
    </w:p>
    <w:p>
      <w:r>
        <w:br w:type="page"/>
      </w:r>
    </w:p>
    <w:p>
      <w:pPr>
        <w:pStyle w:val="Heading1"/>
      </w:pPr>
      <w:r>
        <w:t>Conclusion &amp; Future Work</w:t>
      </w:r>
    </w:p>
    <w:p>
      <w:pPr>
        <w:pStyle w:val="Heading2"/>
      </w:pPr>
      <w:r>
        <w:t>Conclusion</w:t>
      </w:r>
    </w:p>
    <w:p>
      <w:r>
        <w:t>This submission presents a MobileDeepLab based semantic segmentation model trained entirely from scratch on the Duality AI Offroad Segmentation Dataset under CPU only constraints. The model achieved a best mean IoU of 0.3858 at epoch 11,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Unfreeze the MobileNet backbone for end-to-end fine-tuning.</w:t>
      </w:r>
    </w:p>
    <w:p>
      <w:pPr>
        <w:pStyle w:val="ListBullet"/>
      </w:pPr>
      <w:r>
        <w:t>Replace with EfficientNet Lite backbone for improved accuracy.</w:t>
      </w:r>
    </w:p>
    <w:p>
      <w:pPr>
        <w:pStyle w:val="ListBullet"/>
      </w:pPr>
      <w:r>
        <w:t>Add multi scale inference for boundary refinement.</w:t>
      </w:r>
    </w:p>
    <w:p>
      <w:pPr>
        <w:pStyle w:val="ListBullet"/>
      </w:pPr>
      <w:r>
        <w:t>Implement HSV and color jitter augmentations to address near zero IoU classes.</w:t>
      </w:r>
    </w:p>
    <w:p>
      <w:r>
        <w:br w:type="page"/>
      </w:r>
    </w:p>
    <w:p>
      <w:pPr>
        <w:pStyle w:val="Heading1"/>
      </w:pPr>
      <w:r>
        <w:t>Appendix</w:t>
      </w:r>
    </w:p>
    <w:p>
      <w:r>
        <w:t>Project directory: D:\kfiles\aarvak files\Offroad_Autonomy_Segmentation_Model\duality project\Offroad_Segmentation_Scripts\Duality_Submission\Duality_Submission_Package\DeepLabV3Plus_MobileNetV3</w:t>
      </w:r>
    </w:p>
    <w:p>
      <w:r>
        <w:t>Best model checkpoint: D:\kfiles\aarvak files\Offroad_Autonomy_Segmentation_Model\duality project\Offroad_Segmentation_Scripts\Duality_Submission\Duality_Submission_Package\DeepLabV3Plus_MobileNetV3\deeplabv3plus_checkpoint.pth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