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ENet</w:t>
      </w:r>
    </w:p>
    <w:p>
      <w:pPr>
        <w:jc w:val="center"/>
      </w:pPr>
      <w:r>
        <w:rPr>
          <w:b/>
        </w:rPr>
        <w:t>Duality AI Hackathon Submission</w:t>
      </w:r>
    </w:p>
    <w:p>
      <w:pPr>
        <w:jc w:val="center"/>
      </w:pPr>
      <w:r>
        <w:rPr>
          <w:b/>
          <w:sz w:val="28"/>
        </w:rPr>
        <w:t>Team:  Ikigai</w:t>
      </w:r>
    </w:p>
    <w:p>
      <w:pPr>
        <w:jc w:val="center"/>
      </w:pPr>
      <w:r>
        <w:rPr>
          <w:i/>
        </w:rPr>
        <w:t>Ultra lightweight highly optimized architecture specifically designed for low latency edge deployment.</w:t>
      </w:r>
    </w:p>
    <w:p/>
    <w:p>
      <w:pPr>
        <w:jc w:val="center"/>
      </w:pPr>
      <w:r>
        <w:rPr>
          <w:b/>
        </w:rPr>
        <w:t>Architecture: ENet     |</w:t>
      </w:r>
      <w:r>
        <w:rPr>
          <w:b/>
        </w:rPr>
        <w:t xml:space="preserve">  Best IoU: 0.2877</w:t>
      </w:r>
    </w:p>
    <w:p>
      <w:r>
        <w:br w:type="page"/>
      </w:r>
    </w:p>
    <w:p>
      <w:pPr>
        <w:pStyle w:val="Heading1"/>
      </w:pPr>
      <w:r>
        <w:t>Methodology</w:t>
      </w:r>
    </w:p>
    <w:p>
      <w:pPr>
        <w:pStyle w:val="Heading2"/>
      </w:pPr>
      <w:r>
        <w:t>Problem Statement</w:t>
      </w:r>
    </w:p>
    <w:p>
      <w:r>
        <w:t>Off road autonomous navigation requires robust scene understanding across heterogeneous terrain types   including dense vegetation, loose soil, boulders, and sky. The core challenge is training a semantic segmentation model on an imbalanced, visually ambiguous dataset under CPU only compute constraints within the hackathon time limit.</w:t>
      </w:r>
    </w:p>
    <w:p>
      <w:pPr>
        <w:pStyle w:val="Heading2"/>
      </w:pPr>
      <w:r>
        <w:t>Step by Step Process</w:t>
      </w:r>
    </w:p>
    <w:p>
      <w:pPr>
        <w:pStyle w:val="ListNumber"/>
      </w:pPr>
      <w:r>
        <w:rPr>
          <w:b/>
        </w:rPr>
        <w:t>Dataset Preparation:</w:t>
      </w:r>
      <w:r>
        <w:t xml:space="preserve"> Used the Offroad Segmentation Training Dataset (10 semantic classes). Raw mask values remapped to compact class indices 0 9.</w:t>
      </w:r>
    </w:p>
    <w:p>
      <w:pPr>
        <w:pStyle w:val="ListNumber"/>
      </w:pPr>
      <w:r>
        <w:rPr>
          <w:b/>
        </w:rPr>
        <w:t>Dataset Split &amp; Image Resizing:</w:t>
      </w:r>
      <w:r>
        <w:t xml:space="preserve"> Train/val split used. Images resized to 128×128 pixels with batch size 4.</w:t>
      </w:r>
    </w:p>
    <w:p>
      <w:pPr>
        <w:pStyle w:val="ListNumber"/>
      </w:pPr>
      <w:r>
        <w:rPr>
          <w:b/>
        </w:rPr>
        <w:t>Data Augmentation:</w:t>
      </w:r>
      <w:r>
        <w:t xml:space="preserve"> Random horizontal flipping and ImageNet mean/std normalization applied to training images.</w:t>
      </w:r>
    </w:p>
    <w:p>
      <w:pPr>
        <w:pStyle w:val="ListNumber"/>
      </w:pPr>
      <w:r>
        <w:rPr>
          <w:b/>
        </w:rPr>
        <w:t>Class Imbalance Strategy:</w:t>
      </w:r>
      <w:r>
        <w:t xml:space="preserve"> Per-class pixel frequencies computed; inverse frequency weights applied to Cross Entropy loss.</w:t>
      </w:r>
    </w:p>
    <w:p>
      <w:pPr>
        <w:pStyle w:val="ListNumber"/>
      </w:pPr>
      <w:r>
        <w:rPr>
          <w:b/>
        </w:rPr>
        <w:t>Architecture Selection:</w:t>
      </w:r>
      <w:r>
        <w:t xml:space="preserve"> Architecture chosen for its balance of accuracy and compute efficiency under hackathon CPU only constraints.</w:t>
      </w:r>
    </w:p>
    <w:p>
      <w:pPr>
        <w:pStyle w:val="ListNumber"/>
      </w:pPr>
      <w:r>
        <w:rPr>
          <w:b/>
        </w:rPr>
        <w:t>Model Training:</w:t>
      </w:r>
      <w:r>
        <w:t xml:space="preserve"> Trained for 11 epochs with Adam optimizer. Best checkpoint (highest val mIoU) saved automatically.</w:t>
      </w:r>
    </w:p>
    <w:p>
      <w:pPr>
        <w:pStyle w:val="ListNumber"/>
      </w:pPr>
      <w:r>
        <w:rPr>
          <w:b/>
        </w:rPr>
        <w:t>Evaluation:</w:t>
      </w:r>
      <w:r>
        <w:t xml:space="preserve"> Best checkpoint evaluated on validation set with per-class IoU, mIoU, confusion matrix, and failure case analysis.</w:t>
      </w:r>
    </w:p>
    <w:p>
      <w:pPr>
        <w:pStyle w:val="Heading2"/>
      </w:pPr>
      <w:r>
        <w:t>Architecture Overview</w:t>
      </w:r>
    </w:p>
    <w:p>
      <w:r>
        <w:t>Efficient Neural Network (ENet) leverages asymmetric convolutions and early downsampling. By abandoning the symmetric encoder-decoder paradigm, it massively reduces floating point operations.</w:t>
      </w:r>
    </w:p>
    <w:p>
      <w:pPr>
        <w:pStyle w:val="Heading2"/>
      </w:pPr>
      <w:r>
        <w:t>Training Strategy</w:t>
      </w:r>
    </w:p>
    <w:p>
      <w:r>
        <w:t>Trained entirely from scratch without transfer learning. A heavy class weighted Cross Entropy loss was utilized to penalize errors on underrepresented classes.</w:t>
      </w:r>
    </w:p>
    <w:p>
      <w:r>
        <w:drawing>
          <wp:inline xmlns:a="http://schemas.openxmlformats.org/drawingml/2006/main" xmlns:pic="http://schemas.openxmlformats.org/drawingml/2006/picture">
            <wp:extent cx="5943600" cy="2122714"/>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943600" cy="2122714"/>
                    </a:xfrm>
                    <a:prstGeom prst="rect"/>
                  </pic:spPr>
                </pic:pic>
              </a:graphicData>
            </a:graphic>
          </wp:inline>
        </w:drawing>
      </w:r>
    </w:p>
    <w:p>
      <w:r>
        <w:br w:type="page"/>
      </w:r>
    </w:p>
    <w:p>
      <w:pPr>
        <w:pStyle w:val="Heading1"/>
      </w:pPr>
      <w:r>
        <w:t>Results &amp; Performance Metrics</w:t>
      </w:r>
    </w:p>
    <w:p>
      <w:pPr>
        <w:pStyle w:val="Heading2"/>
      </w:pPr>
      <w:r>
        <w:t>Overall Performance</w:t>
      </w:r>
    </w:p>
    <w:tbl>
      <w:tblPr>
        <w:tblStyle w:val="TableGrid"/>
        <w:tblW w:type="auto" w:w="0"/>
        <w:tblLook w:firstColumn="1" w:firstRow="1" w:lastColumn="0" w:lastRow="0" w:noHBand="0" w:noVBand="1" w:val="04A0"/>
      </w:tblPr>
      <w:tblGrid>
        <w:gridCol w:w="4986"/>
        <w:gridCol w:w="4986"/>
      </w:tblGrid>
      <w:tr>
        <w:tc>
          <w:tcPr>
            <w:tcW w:type="dxa" w:w="4986"/>
          </w:tcPr>
          <w:p>
            <w:r>
              <w:rPr>
                <w:b/>
              </w:rPr>
              <w:t>Metric</w:t>
            </w:r>
          </w:p>
        </w:tc>
        <w:tc>
          <w:tcPr>
            <w:tcW w:type="dxa" w:w="4986"/>
          </w:tcPr>
          <w:p>
            <w:r>
              <w:rPr>
                <w:b/>
              </w:rPr>
              <w:t>Value</w:t>
            </w:r>
          </w:p>
        </w:tc>
      </w:tr>
      <w:tr>
        <w:tc>
          <w:tcPr>
            <w:tcW w:type="dxa" w:w="4986"/>
          </w:tcPr>
          <w:p>
            <w:r>
              <w:t>Best Mean IoU</w:t>
            </w:r>
          </w:p>
        </w:tc>
        <w:tc>
          <w:tcPr>
            <w:tcW w:type="dxa" w:w="4986"/>
          </w:tcPr>
          <w:p>
            <w:r>
              <w:t>0.2877</w:t>
            </w:r>
          </w:p>
        </w:tc>
      </w:tr>
      <w:tr>
        <w:tc>
          <w:tcPr>
            <w:tcW w:type="dxa" w:w="4986"/>
          </w:tcPr>
          <w:p>
            <w:r>
              <w:t>Final Mean IoU</w:t>
            </w:r>
          </w:p>
        </w:tc>
        <w:tc>
          <w:tcPr>
            <w:tcW w:type="dxa" w:w="4986"/>
          </w:tcPr>
          <w:p>
            <w:r>
              <w:t>0.2877</w:t>
            </w:r>
          </w:p>
        </w:tc>
      </w:tr>
      <w:tr>
        <w:tc>
          <w:tcPr>
            <w:tcW w:type="dxa" w:w="4986"/>
          </w:tcPr>
          <w:p>
            <w:r>
              <w:t>Best Epoch</w:t>
            </w:r>
          </w:p>
        </w:tc>
        <w:tc>
          <w:tcPr>
            <w:tcW w:type="dxa" w:w="4986"/>
          </w:tcPr>
          <w:p>
            <w:r>
              <w:t>11</w:t>
            </w:r>
          </w:p>
        </w:tc>
      </w:tr>
      <w:tr>
        <w:tc>
          <w:tcPr>
            <w:tcW w:type="dxa" w:w="4986"/>
          </w:tcPr>
          <w:p>
            <w:r>
              <w:t>Convergence Epoch</w:t>
            </w:r>
          </w:p>
        </w:tc>
        <w:tc>
          <w:tcPr>
            <w:tcW w:type="dxa" w:w="4986"/>
          </w:tcPr>
          <w:p>
            <w:r>
              <w:t>7</w:t>
            </w:r>
          </w:p>
        </w:tc>
      </w:tr>
      <w:tr>
        <w:tc>
          <w:tcPr>
            <w:tcW w:type="dxa" w:w="4986"/>
          </w:tcPr>
          <w:p>
            <w:r>
              <w:t>Final Train Loss</w:t>
            </w:r>
          </w:p>
        </w:tc>
        <w:tc>
          <w:tcPr>
            <w:tcW w:type="dxa" w:w="4986"/>
          </w:tcPr>
          <w:p>
            <w:r>
              <w:t>0.9575</w:t>
            </w:r>
          </w:p>
        </w:tc>
      </w:tr>
      <w:tr>
        <w:tc>
          <w:tcPr>
            <w:tcW w:type="dxa" w:w="4986"/>
          </w:tcPr>
          <w:p>
            <w:r>
              <w:t>Final Val Loss</w:t>
            </w:r>
          </w:p>
        </w:tc>
        <w:tc>
          <w:tcPr>
            <w:tcW w:type="dxa" w:w="4986"/>
          </w:tcPr>
          <w:p>
            <w:r>
              <w:t>0.8498</w:t>
            </w:r>
          </w:p>
        </w:tc>
      </w:tr>
      <w:tr>
        <w:tc>
          <w:tcPr>
            <w:tcW w:type="dxa" w:w="4986"/>
          </w:tcPr>
          <w:p>
            <w:r>
              <w:t>Model Size (MB)</w:t>
            </w:r>
          </w:p>
        </w:tc>
        <w:tc>
          <w:tcPr>
            <w:tcW w:type="dxa" w:w="4986"/>
          </w:tcPr>
          <w:p>
            <w:r>
              <w:t>4.55</w:t>
            </w:r>
          </w:p>
        </w:tc>
      </w:tr>
      <w:tr>
        <w:tc>
          <w:tcPr>
            <w:tcW w:type="dxa" w:w="4986"/>
          </w:tcPr>
          <w:p>
            <w:r>
              <w:t>Parameters (M)</w:t>
            </w:r>
          </w:p>
        </w:tc>
        <w:tc>
          <w:tcPr>
            <w:tcW w:type="dxa" w:w="4986"/>
          </w:tcPr>
          <w:p>
            <w:r>
              <w:t>0.36</w:t>
            </w:r>
          </w:p>
        </w:tc>
      </w:tr>
    </w:tbl>
    <w:p>
      <w:pPr>
        <w:pStyle w:val="Heading2"/>
      </w:pPr>
      <w:r>
        <w:t>Per-Class IoU Performance</w:t>
      </w:r>
    </w:p>
    <w:p>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er_class_iou.png"/>
                    <pic:cNvPicPr/>
                  </pic:nvPicPr>
                  <pic:blipFill>
                    <a:blip r:embed="rId10"/>
                    <a:stretch>
                      <a:fillRect/>
                    </a:stretch>
                  </pic:blipFill>
                  <pic:spPr>
                    <a:xfrm>
                      <a:off x="0" y="0"/>
                      <a:ext cx="5943600" cy="3566160"/>
                    </a:xfrm>
                    <a:prstGeom prst="rect"/>
                  </pic:spPr>
                </pic:pic>
              </a:graphicData>
            </a:graphic>
          </wp:inline>
        </w:drawing>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Class</w:t>
            </w:r>
          </w:p>
        </w:tc>
        <w:tc>
          <w:tcPr>
            <w:tcW w:type="dxa" w:w="3324"/>
          </w:tcPr>
          <w:p>
            <w:r>
              <w:rPr>
                <w:b/>
              </w:rPr>
              <w:t>IoU</w:t>
            </w:r>
          </w:p>
        </w:tc>
        <w:tc>
          <w:tcPr>
            <w:tcW w:type="dxa" w:w="3324"/>
          </w:tcPr>
          <w:p>
            <w:r>
              <w:rPr>
                <w:b/>
              </w:rPr>
              <w:t>Status</w:t>
            </w:r>
          </w:p>
        </w:tc>
      </w:tr>
      <w:tr>
        <w:tc>
          <w:tcPr>
            <w:tcW w:type="dxa" w:w="3324"/>
          </w:tcPr>
          <w:p>
            <w:r>
              <w:t>Sky</w:t>
            </w:r>
          </w:p>
        </w:tc>
        <w:tc>
          <w:tcPr>
            <w:tcW w:type="dxa" w:w="3324"/>
          </w:tcPr>
          <w:p>
            <w:r>
              <w:t>0.9375</w:t>
            </w:r>
          </w:p>
        </w:tc>
        <w:tc>
          <w:tcPr>
            <w:tcW w:type="dxa" w:w="3324"/>
          </w:tcPr>
          <w:p>
            <w:r>
              <w:t>Good</w:t>
            </w:r>
          </w:p>
        </w:tc>
      </w:tr>
      <w:tr>
        <w:tc>
          <w:tcPr>
            <w:tcW w:type="dxa" w:w="3324"/>
          </w:tcPr>
          <w:p>
            <w:r>
              <w:t>Trees</w:t>
            </w:r>
          </w:p>
        </w:tc>
        <w:tc>
          <w:tcPr>
            <w:tcW w:type="dxa" w:w="3324"/>
          </w:tcPr>
          <w:p>
            <w:r>
              <w:t>0.6144</w:t>
            </w:r>
          </w:p>
        </w:tc>
        <w:tc>
          <w:tcPr>
            <w:tcW w:type="dxa" w:w="3324"/>
          </w:tcPr>
          <w:p>
            <w:r>
              <w:t>Good</w:t>
            </w:r>
          </w:p>
        </w:tc>
      </w:tr>
      <w:tr>
        <w:tc>
          <w:tcPr>
            <w:tcW w:type="dxa" w:w="3324"/>
          </w:tcPr>
          <w:p>
            <w:r>
              <w:t>Lush Bushes</w:t>
            </w:r>
          </w:p>
        </w:tc>
        <w:tc>
          <w:tcPr>
            <w:tcW w:type="dxa" w:w="3324"/>
          </w:tcPr>
          <w:p>
            <w:r>
              <w:t>0.5181</w:t>
            </w:r>
          </w:p>
        </w:tc>
        <w:tc>
          <w:tcPr>
            <w:tcW w:type="dxa" w:w="3324"/>
          </w:tcPr>
          <w:p>
            <w:r>
              <w:t>Good</w:t>
            </w:r>
          </w:p>
        </w:tc>
      </w:tr>
      <w:tr>
        <w:tc>
          <w:tcPr>
            <w:tcW w:type="dxa" w:w="3324"/>
          </w:tcPr>
          <w:p>
            <w:r>
              <w:t>Dry Grass</w:t>
            </w:r>
          </w:p>
        </w:tc>
        <w:tc>
          <w:tcPr>
            <w:tcW w:type="dxa" w:w="3324"/>
          </w:tcPr>
          <w:p>
            <w:r>
              <w:t>0.4553</w:t>
            </w:r>
          </w:p>
        </w:tc>
        <w:tc>
          <w:tcPr>
            <w:tcW w:type="dxa" w:w="3324"/>
          </w:tcPr>
          <w:p>
            <w:r>
              <w:t>Moderate</w:t>
            </w:r>
          </w:p>
        </w:tc>
      </w:tr>
      <w:tr>
        <w:tc>
          <w:tcPr>
            <w:tcW w:type="dxa" w:w="3324"/>
          </w:tcPr>
          <w:p>
            <w:r>
              <w:t>Background</w:t>
            </w:r>
          </w:p>
        </w:tc>
        <w:tc>
          <w:tcPr>
            <w:tcW w:type="dxa" w:w="3324"/>
          </w:tcPr>
          <w:p>
            <w:r>
              <w:t>0.3175</w:t>
            </w:r>
          </w:p>
        </w:tc>
        <w:tc>
          <w:tcPr>
            <w:tcW w:type="dxa" w:w="3324"/>
          </w:tcPr>
          <w:p>
            <w:r>
              <w:t>Moderate</w:t>
            </w:r>
          </w:p>
        </w:tc>
      </w:tr>
      <w:tr>
        <w:tc>
          <w:tcPr>
            <w:tcW w:type="dxa" w:w="3324"/>
          </w:tcPr>
          <w:p>
            <w:r>
              <w:t>Ground Clutter</w:t>
            </w:r>
          </w:p>
        </w:tc>
        <w:tc>
          <w:tcPr>
            <w:tcW w:type="dxa" w:w="3324"/>
          </w:tcPr>
          <w:p>
            <w:r>
              <w:t>0.1560</w:t>
            </w:r>
          </w:p>
        </w:tc>
        <w:tc>
          <w:tcPr>
            <w:tcW w:type="dxa" w:w="3324"/>
          </w:tcPr>
          <w:p>
            <w:r>
              <w:t>Poor</w:t>
            </w:r>
          </w:p>
        </w:tc>
      </w:tr>
      <w:tr>
        <w:tc>
          <w:tcPr>
            <w:tcW w:type="dxa" w:w="3324"/>
          </w:tcPr>
          <w:p>
            <w:r>
              <w:t>Dry Bushes</w:t>
            </w:r>
          </w:p>
        </w:tc>
        <w:tc>
          <w:tcPr>
            <w:tcW w:type="dxa" w:w="3324"/>
          </w:tcPr>
          <w:p>
            <w:r>
              <w:t>0.1484</w:t>
            </w:r>
          </w:p>
        </w:tc>
        <w:tc>
          <w:tcPr>
            <w:tcW w:type="dxa" w:w="3324"/>
          </w:tcPr>
          <w:p>
            <w:r>
              <w:t>Poor</w:t>
            </w:r>
          </w:p>
        </w:tc>
      </w:tr>
      <w:tr>
        <w:tc>
          <w:tcPr>
            <w:tcW w:type="dxa" w:w="3324"/>
          </w:tcPr>
          <w:p>
            <w:r>
              <w:t>Landscape</w:t>
            </w:r>
          </w:p>
        </w:tc>
        <w:tc>
          <w:tcPr>
            <w:tcW w:type="dxa" w:w="3324"/>
          </w:tcPr>
          <w:p>
            <w:r>
              <w:t>0.1292</w:t>
            </w:r>
          </w:p>
        </w:tc>
        <w:tc>
          <w:tcPr>
            <w:tcW w:type="dxa" w:w="3324"/>
          </w:tcPr>
          <w:p>
            <w:r>
              <w:t>Poor</w:t>
            </w:r>
          </w:p>
        </w:tc>
      </w:tr>
      <w:tr>
        <w:tc>
          <w:tcPr>
            <w:tcW w:type="dxa" w:w="3324"/>
          </w:tcPr>
          <w:p>
            <w:r>
              <w:t>Rocks</w:t>
            </w:r>
          </w:p>
        </w:tc>
        <w:tc>
          <w:tcPr>
            <w:tcW w:type="dxa" w:w="3324"/>
          </w:tcPr>
          <w:p>
            <w:r>
              <w:t>0.0913</w:t>
            </w:r>
          </w:p>
        </w:tc>
        <w:tc>
          <w:tcPr>
            <w:tcW w:type="dxa" w:w="3324"/>
          </w:tcPr>
          <w:p>
            <w:r>
              <w:t>Poor</w:t>
            </w:r>
          </w:p>
        </w:tc>
      </w:tr>
      <w:tr>
        <w:tc>
          <w:tcPr>
            <w:tcW w:type="dxa" w:w="3324"/>
          </w:tcPr>
          <w:p>
            <w:r>
              <w:t>Logs</w:t>
            </w:r>
          </w:p>
        </w:tc>
        <w:tc>
          <w:tcPr>
            <w:tcW w:type="dxa" w:w="3324"/>
          </w:tcPr>
          <w:p>
            <w:r>
              <w:t>0.0260</w:t>
            </w:r>
          </w:p>
        </w:tc>
        <w:tc>
          <w:tcPr>
            <w:tcW w:type="dxa" w:w="3324"/>
          </w:tcPr>
          <w:p>
            <w:r>
              <w:t>Poor</w:t>
            </w:r>
          </w:p>
        </w:tc>
      </w:tr>
    </w:tbl>
    <w:p>
      <w:pPr>
        <w:pStyle w:val="Heading2"/>
      </w:pPr>
      <w:r>
        <w:t>Confusion Matrix</w:t>
      </w:r>
    </w:p>
    <w:p>
      <w:r>
        <w:drawing>
          <wp:inline xmlns:a="http://schemas.openxmlformats.org/drawingml/2006/main" xmlns:pic="http://schemas.openxmlformats.org/drawingml/2006/picture">
            <wp:extent cx="5943600" cy="475488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943600" cy="4754880"/>
                    </a:xfrm>
                    <a:prstGeom prst="rect"/>
                  </pic:spPr>
                </pic:pic>
              </a:graphicData>
            </a:graphic>
          </wp:inline>
        </w:drawing>
      </w:r>
    </w:p>
    <w:p>
      <w:r>
        <w:t>The most common misclassification pairs observed were: Landscape mistaken as Ground Clutter, Dry Grass mistaken as Dry Bushes, Ground Clutter mistaken as Rocks. These confusions are consistent with the high visual similarity between adjacent terrain categories in off road environments.</w:t>
      </w:r>
    </w:p>
    <w:p>
      <w:pPr>
        <w:pStyle w:val="Heading2"/>
      </w:pPr>
      <w:r>
        <w:t>Prediction Examples</w:t>
      </w:r>
    </w:p>
    <w:p>
      <w:r>
        <w:drawing>
          <wp:inline xmlns:a="http://schemas.openxmlformats.org/drawingml/2006/main" xmlns:pic="http://schemas.openxmlformats.org/drawingml/2006/picture">
            <wp:extent cx="5943600" cy="5943600"/>
            <wp:docPr id="4" name="Picture 4"/>
            <wp:cNvGraphicFramePr>
              <a:graphicFrameLocks noChangeAspect="1"/>
            </wp:cNvGraphicFramePr>
            <a:graphic>
              <a:graphicData uri="http://schemas.openxmlformats.org/drawingml/2006/picture">
                <pic:pic>
                  <pic:nvPicPr>
                    <pic:cNvPr id="0" name="prediction_grid.png"/>
                    <pic:cNvPicPr/>
                  </pic:nvPicPr>
                  <pic:blipFill>
                    <a:blip r:embed="rId12"/>
                    <a:stretch>
                      <a:fillRect/>
                    </a:stretch>
                  </pic:blipFill>
                  <pic:spPr>
                    <a:xfrm>
                      <a:off x="0" y="0"/>
                      <a:ext cx="5943600" cy="5943600"/>
                    </a:xfrm>
                    <a:prstGeom prst="rect"/>
                  </pic:spPr>
                </pic:pic>
              </a:graphicData>
            </a:graphic>
          </wp:inline>
        </w:drawing>
      </w:r>
    </w:p>
    <w:p>
      <w:r>
        <w:br w:type="page"/>
      </w:r>
    </w:p>
    <w:p>
      <w:pPr>
        <w:pStyle w:val="Heading1"/>
      </w:pPr>
      <w:r>
        <w:t>Challenges &amp; Solutions</w:t>
      </w:r>
    </w:p>
    <w:p>
      <w:pPr>
        <w:pStyle w:val="Heading2"/>
      </w:pPr>
      <w:r>
        <w:t>Challenge 1: Severe Class Imbalance</w:t>
      </w:r>
    </w:p>
    <w:p>
      <w:r>
        <w:t>Problem: The classes Background, Trees, Dry Bushes, Ground Clutter, Logs, Rocks accounted for less than 5% of validation pixels, while dominant classes (Sky) occupied more than 30% each. Without intervention, the model would ignore rare classes entirely.</w:t>
      </w:r>
    </w:p>
    <w:p>
      <w:r>
        <w:t>Fix Applied: We computed per-class pixel frequencies across the full training set and derived inverse-frequency class weights. These weights were injected directly into the Cross-Entropy loss function, ensuring that each misclassified pixel of a rare class contributed proportionally more to the gradient signal during backpropagation.</w:t>
      </w:r>
    </w:p>
    <w:p>
      <w:pPr>
        <w:pStyle w:val="Heading2"/>
      </w:pPr>
      <w:r>
        <w:t>Challenge 2: Training Stability</w:t>
      </w:r>
    </w:p>
    <w:p>
      <w:r>
        <w:t>Problem: Training was stable throughout.</w:t>
      </w:r>
    </w:p>
    <w:p>
      <w:r>
        <w:t>Fix Applied: A step based learning rate scheduler was used to reduce the learning rate at fixed intervals, preventing oscillation late in training. The best checkpoint was tracked by validation mIoU (not final epoch loss) to guard against overfitting.</w:t>
      </w:r>
    </w:p>
    <w:p>
      <w:pPr>
        <w:pStyle w:val="Heading2"/>
      </w:pPr>
      <w:r>
        <w:t>Challenge 3: Visually Ambiguous Class Discrimination</w:t>
      </w:r>
    </w:p>
    <w:p>
      <w:r>
        <w:drawing>
          <wp:inline xmlns:a="http://schemas.openxmlformats.org/drawingml/2006/main" xmlns:pic="http://schemas.openxmlformats.org/drawingml/2006/picture">
            <wp:extent cx="5943600" cy="3962400"/>
            <wp:docPr id="5" name="Picture 5"/>
            <wp:cNvGraphicFramePr>
              <a:graphicFrameLocks noChangeAspect="1"/>
            </wp:cNvGraphicFramePr>
            <a:graphic>
              <a:graphicData uri="http://schemas.openxmlformats.org/drawingml/2006/picture">
                <pic:pic>
                  <pic:nvPicPr>
                    <pic:cNvPr id="0" name="failure_analysis.png"/>
                    <pic:cNvPicPr/>
                  </pic:nvPicPr>
                  <pic:blipFill>
                    <a:blip r:embed="rId13"/>
                    <a:stretch>
                      <a:fillRect/>
                    </a:stretch>
                  </pic:blipFill>
                  <pic:spPr>
                    <a:xfrm>
                      <a:off x="0" y="0"/>
                      <a:ext cx="5943600" cy="3962400"/>
                    </a:xfrm>
                    <a:prstGeom prst="rect"/>
                  </pic:spPr>
                </pic:pic>
              </a:graphicData>
            </a:graphic>
          </wp:inline>
        </w:drawing>
      </w:r>
    </w:p>
    <w:p>
      <w:r>
        <w:t>Logs (IoU: 0.0260): The model consistently confused this class with Background. This stems from the high visual similarity between these terrain types under varying lighting conditions   both share similar colour histograms and texture frequencies at 128×128 resolution.</w:t>
      </w:r>
    </w:p>
    <w:p>
      <w:r>
        <w:t>Rocks (IoU: 0.0913): The model consistently confused this class with Ground Clutter. This stems from the high visual similarity between these terrain types under varying lighting conditions   both share similar colour histograms and texture frequencies at 128×128 resolution.</w:t>
      </w:r>
    </w:p>
    <w:p>
      <w:r>
        <w:t>Landscape (IoU: 0.1292): The model consistently confused this class with Rocks. This stems from the high visual similarity between these terrain types under varying lighting conditions   both share similar colour histograms and texture frequencies at 128×128 resolution.</w:t>
      </w:r>
    </w:p>
    <w:p>
      <w:pPr>
        <w:pStyle w:val="Heading3"/>
      </w:pPr>
      <w:r>
        <w:t>Current Limitation</w:t>
      </w:r>
    </w:p>
    <w:p>
      <w:r>
        <w:t>All classes achieved at least partial IoU scores. Remaining low-performing classes represent a current limitation that Future Work will address.</w:t>
      </w:r>
    </w:p>
    <w:p>
      <w:r>
        <w:br w:type="page"/>
      </w:r>
    </w:p>
    <w:p>
      <w:pPr>
        <w:pStyle w:val="Heading1"/>
      </w:pPr>
      <w:r>
        <w:t>Conclusion &amp; Future Work</w:t>
      </w:r>
    </w:p>
    <w:p>
      <w:pPr>
        <w:pStyle w:val="Heading2"/>
      </w:pPr>
      <w:r>
        <w:t>Conclusion</w:t>
      </w:r>
    </w:p>
    <w:p>
      <w:r>
        <w:t>This submission presents a ENet based semantic segmentation model trained entirely from scratch on the Duality AI Offroad Segmentation Dataset under CPU only constraints. The model achieved a best mean IoU of 0.2877 at epoch 11, demonstrating that lightweight architectures combined with principled class weighting can produce meaningful scene understanding in off road environments within a hackathon time limit. Strong performance was observed on dominant classes (Background, Sky, Trees), while visually ambiguous rare classes remain the primary performance bottleneck.</w:t>
      </w:r>
    </w:p>
    <w:p>
      <w:pPr>
        <w:pStyle w:val="Heading2"/>
      </w:pPr>
      <w:r>
        <w:t>Future Work</w:t>
      </w:r>
    </w:p>
    <w:p>
      <w:pPr>
        <w:pStyle w:val="ListBullet"/>
      </w:pPr>
      <w:r>
        <w:t>Compare with U Net skip connections to assess spatial preservation tradeoffs.</w:t>
      </w:r>
    </w:p>
    <w:p>
      <w:pPr>
        <w:pStyle w:val="ListBullet"/>
      </w:pPr>
      <w:r>
        <w:t>Try dilated convolutions in the bottleneck for larger receptive fields.</w:t>
      </w:r>
    </w:p>
    <w:p>
      <w:pPr>
        <w:pStyle w:val="ListBullet"/>
      </w:pPr>
      <w:r>
        <w:t>Experiment with a Dice Loss auxiliary head.</w:t>
      </w:r>
    </w:p>
    <w:p>
      <w:pPr>
        <w:pStyle w:val="ListBullet"/>
      </w:pPr>
      <w:r>
        <w:t>Add color and texture augmentations to address near zero IoU classes.</w:t>
      </w:r>
    </w:p>
    <w:p>
      <w:r>
        <w:br w:type="page"/>
      </w:r>
    </w:p>
    <w:p>
      <w:pPr>
        <w:pStyle w:val="Heading1"/>
      </w:pPr>
      <w:r>
        <w:t>Appendix</w:t>
      </w:r>
    </w:p>
    <w:p>
      <w:r>
        <w:t>Project directory: D:\kfiles\aarvak files\Offroad_Autonomy_Segmentation_Model\duality project\Offroad_Segmentation_Scripts\Duality_Submission\Duality_Submission_Package\ENet</w:t>
      </w:r>
    </w:p>
    <w:p>
      <w:r>
        <w:t>Best model checkpoint: D:\kfiles\aarvak files\Offroad_Autonomy_Segmentation_Model\duality project\Offroad_Segmentation_Scripts\Duality_Submission\Duality_Submission_Package\ENet\enet_best.pth</w:t>
      </w:r>
    </w:p>
    <w:p>
      <w:r>
        <w:t>Validation directory: D:\kfiles\aarvak files\Offroad_Autonomy_Segmentation_Model\duality project\Offroad_Segmentation_Training_Dataset\Offroad_Segmentation_Training_Dataset\val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