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MobileDeepLab — Semantic Scene Segmentation</w:t>
      </w:r>
    </w:p>
    <w:p>
      <w:r>
        <w:t>Duality AI Hackathon Submission</w:t>
      </w:r>
    </w:p>
    <w:p>
      <w:r>
        <w:t>Model Architecture: MobileDeepLab</w:t>
      </w:r>
    </w:p>
    <w:p>
      <w:r>
        <w:t>MobileNet-based DeepLab variant combining depthwise separable convolutions with atrous spatial pyramid pooling.</w:t>
      </w:r>
    </w:p>
    <w:p>
      <w:r>
        <w:t>Best IoU: 0.5919</w:t>
      </w:r>
    </w:p>
    <w:p>
      <w:r>
        <w:t>Date: 2026-04-14</w:t>
      </w:r>
    </w:p>
    <w:p>
      <w:r>
        <w:br w:type="page"/>
      </w:r>
    </w:p>
    <w:p>
      <w:pPr>
        <w:pStyle w:val="Heading1"/>
      </w:pPr>
      <w:r>
        <w:t>Methodology</w:t>
      </w:r>
    </w:p>
    <w:p>
      <w:pPr>
        <w:pStyle w:val="Heading2"/>
      </w:pPr>
      <w:r>
        <w:t>Model Architecture</w:t>
      </w:r>
    </w:p>
    <w:p>
      <w:r>
        <w:t>This variant couples a lightweight MobileNet backbone with DeepLab's ASPP module, achieving a strong accuracy-efficiency tradeoff suitable for resource-constrained environments.</w:t>
      </w:r>
    </w:p>
    <w:p>
      <w:pPr>
        <w:pStyle w:val="Heading2"/>
      </w:pPr>
      <w:r>
        <w:t>Training Strategy</w:t>
      </w:r>
    </w:p>
    <w:p>
      <w:r>
        <w:t>Transfer learning from ImageNet-pretrained MobileNet backbone. Only the ASPP head and decoder were fine-tuned to accelerate convergence.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Performance Metrics</w:t>
      </w:r>
    </w:p>
    <w:p>
      <w:pPr>
        <w:pStyle w:val="Heading2"/>
      </w:pPr>
      <w:r>
        <w:t>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Best IoU</w:t>
            </w:r>
          </w:p>
        </w:tc>
        <w:tc>
          <w:tcPr>
            <w:tcW w:type="dxa" w:w="4986"/>
          </w:tcPr>
          <w:p>
            <w:r>
              <w:t>0.5919</w:t>
            </w:r>
          </w:p>
        </w:tc>
      </w:tr>
      <w:tr>
        <w:tc>
          <w:tcPr>
            <w:tcW w:type="dxa" w:w="4986"/>
          </w:tcPr>
          <w:p>
            <w:r>
              <w:t>Final IoU</w:t>
            </w:r>
          </w:p>
        </w:tc>
        <w:tc>
          <w:tcPr>
            <w:tcW w:type="dxa" w:w="4986"/>
          </w:tcPr>
          <w:p>
            <w:r>
              <w:t>0.5916</w:t>
            </w:r>
          </w:p>
        </w:tc>
      </w:tr>
      <w:tr>
        <w:tc>
          <w:tcPr>
            <w:tcW w:type="dxa" w:w="4986"/>
          </w:tcPr>
          <w:p>
            <w:r>
              <w:t>Best Epoch</w:t>
            </w:r>
          </w:p>
        </w:tc>
        <w:tc>
          <w:tcPr>
            <w:tcW w:type="dxa" w:w="4986"/>
          </w:tcPr>
          <w:p>
            <w:r>
              <w:t>48</w:t>
            </w:r>
          </w:p>
        </w:tc>
      </w:tr>
      <w:tr>
        <w:tc>
          <w:tcPr>
            <w:tcW w:type="dxa" w:w="4986"/>
          </w:tcPr>
          <w:p>
            <w:r>
              <w:t>Convergence Epoch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Final Train Loss</w:t>
            </w:r>
          </w:p>
        </w:tc>
        <w:tc>
          <w:tcPr>
            <w:tcW w:type="dxa" w:w="4986"/>
          </w:tcPr>
          <w:p>
            <w:r>
              <w:t>0.3025</w:t>
            </w:r>
          </w:p>
        </w:tc>
      </w:tr>
      <w:tr>
        <w:tc>
          <w:tcPr>
            <w:tcW w:type="dxa" w:w="4986"/>
          </w:tcPr>
          <w:p>
            <w:r>
              <w:t>Final Val Loss</w:t>
            </w:r>
          </w:p>
        </w:tc>
        <w:tc>
          <w:tcPr>
            <w:tcW w:type="dxa" w:w="4986"/>
          </w:tcPr>
          <w:p>
            <w:r>
              <w:t>0.3151</w:t>
            </w:r>
          </w:p>
        </w:tc>
      </w:tr>
      <w:tr>
        <w:tc>
          <w:tcPr>
            <w:tcW w:type="dxa" w:w="4986"/>
          </w:tcPr>
          <w:p>
            <w:r>
              <w:t>Model Size (MB)</w:t>
            </w:r>
          </w:p>
        </w:tc>
        <w:tc>
          <w:tcPr>
            <w:tcW w:type="dxa" w:w="4986"/>
          </w:tcPr>
          <w:p>
            <w:r>
              <w:t>18.08</w:t>
            </w:r>
          </w:p>
        </w:tc>
      </w:tr>
      <w:tr>
        <w:tc>
          <w:tcPr>
            <w:tcW w:type="dxa" w:w="4986"/>
          </w:tcPr>
          <w:p>
            <w:r>
              <w:t>Parameters (M)</w:t>
            </w:r>
          </w:p>
        </w:tc>
        <w:tc>
          <w:tcPr>
            <w:tcW w:type="dxa" w:w="4986"/>
          </w:tcPr>
          <w:p>
            <w:r>
              <w:t>4.71</w:t>
            </w:r>
          </w:p>
        </w:tc>
      </w:tr>
    </w:tbl>
    <w:p>
      <w:pPr>
        <w:pStyle w:val="Heading2"/>
      </w:pPr>
      <w:r>
        <w:t>Per-Class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io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Prediction Examples</w:t>
      </w:r>
    </w:p>
    <w:p>
      <w:r>
        <w:drawing>
          <wp:inline xmlns:a="http://schemas.openxmlformats.org/drawingml/2006/main" xmlns:pic="http://schemas.openxmlformats.org/drawingml/2006/picture">
            <wp:extent cx="5943600" cy="4709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most common misclassification pairs observed were: Dry Grass mistaken as Lush Bushes, Ground Clutter mistaken as Landscape, Lush Bushes mistaken as Trees.</w:t>
      </w:r>
    </w:p>
    <w:p>
      <w:r>
        <w:br w:type="page"/>
      </w:r>
    </w:p>
    <w:p>
      <w:pPr>
        <w:pStyle w:val="Heading1"/>
      </w:pPr>
      <w:r>
        <w:t>Challenges &amp; Solutions</w:t>
      </w:r>
    </w:p>
    <w:p>
      <w:pPr>
        <w:pStyle w:val="Heading2"/>
      </w:pPr>
      <w:r>
        <w:t>Class Imbalance</w:t>
      </w:r>
    </w:p>
    <w:p>
      <w:r>
        <w:t>The classes Background, Trees, Dry Bushes, Ground Clutter, Logs, Rocks accounted for less than 5% of validation pixels, representing severe class imbalance. We employed weighted cross-entropy loss to counteract this distribution skew.</w:t>
      </w:r>
    </w:p>
    <w:p>
      <w:pPr>
        <w:pStyle w:val="Heading2"/>
      </w:pPr>
      <w:r>
        <w:t>Failure Case Analysis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model struggled with Logs (IoU: 0.00). This class was most commonly confused with Lush Bushes, likely due to visual similarity. A potential fix would be stronger color augmentations.</w:t>
      </w:r>
    </w:p>
    <w:p>
      <w:r>
        <w:t>The model struggled with Dry Bushes (IoU: 0.00). This class was most commonly confused with Landscape, likely due to visual similarity. A potential fix would be stronger color augmentations.</w:t>
      </w:r>
    </w:p>
    <w:p>
      <w:r>
        <w:t>The model struggled with Ground Clutter (IoU: 0.00). This class was most commonly confused with Landscape, likely due to visual similarity. A potential fix would be stronger color augmentations.</w:t>
      </w:r>
    </w:p>
    <w:p>
      <w:pPr>
        <w:pStyle w:val="Heading2"/>
      </w:pPr>
      <w:r>
        <w:t>Training Challenges</w:t>
      </w:r>
    </w:p>
    <w:p>
      <w:r>
        <w:t>Training was stable throughout.</w:t>
      </w:r>
    </w:p>
    <w:p>
      <w:r>
        <w:br w:type="page"/>
      </w:r>
    </w:p>
    <w:p>
      <w:pPr>
        <w:pStyle w:val="Heading1"/>
      </w:pPr>
      <w:r>
        <w:t>Conclusion &amp; Future Work</w:t>
      </w:r>
    </w:p>
    <w:p>
      <w:pPr>
        <w:pStyle w:val="Heading2"/>
      </w:pPr>
      <w:r>
        <w:t>Conclusion</w:t>
      </w:r>
    </w:p>
    <w:p>
      <w:r>
        <w:t>The MobileDeepLab model demonstrated capable performance with a mean IoU of 0.5919. The extremely fast training cycles enabled rapid iteration over learning parameters.</w:t>
      </w:r>
    </w:p>
    <w:p>
      <w:pPr>
        <w:pStyle w:val="Heading2"/>
      </w:pPr>
      <w:r>
        <w:t>Future Work</w:t>
      </w:r>
    </w:p>
    <w:p>
      <w:pPr>
        <w:pStyle w:val="ListBullet"/>
      </w:pPr>
      <w:r>
        <w:t>Unfreeze the MobileNet backbone for fine-tuning.</w:t>
      </w:r>
    </w:p>
    <w:p>
      <w:pPr>
        <w:pStyle w:val="ListBullet"/>
      </w:pPr>
      <w:r>
        <w:t>Replace with EfficientNet-Lite backbone.</w:t>
      </w:r>
    </w:p>
    <w:p>
      <w:pPr>
        <w:pStyle w:val="ListBullet"/>
      </w:pPr>
      <w:r>
        <w:t>Add multi-scale inference for boundary refinement.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Generated automatically by report_generator.py in response to hackathon requirements.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